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Implementation, Case Studies, and Resources: The 90-Day Implementation Plan for Busy Professionals | Legal and Financial Team Coordination | KPI Metrics for Asset Protection Progress | Case Studies Across Professions | Templates, Reference Charts, Digital Tools, and Advisor Director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