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Tax Optimization Blueprint™ |  Income Tax Planning With Trusts | Capital Gains and Practice Income | Estate and Generation-Skipping Tax Planning | Entity Structuring for Tax Efficiency | State-Level and International Tax Considerations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