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E5FA8"/>
          <w:sz w:val="56"/>
          <w:szCs w:val="56"/>
        </w:rPr>
        <w:t xml:space="preserve">GRANDI MOLINI ITALIANI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54380"/>
          <w:sz w:val="40"/>
          <w:szCs w:val="40"/>
        </w:rPr>
        <w:t xml:space="preserve">Sistema di Gestione AIA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C1C"/>
          <w:sz w:val="52"/>
          <w:szCs w:val="52"/>
        </w:rPr>
        <w:t xml:space="preserve">Manuale Utente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Versione 2.0 — Marzo 2026</w:t>
      </w:r>
    </w:p>
    <w:p>
      <w:pPr>
        <w:spacing w:after="0" w:before="600"/>
      </w:pPr>
      <w:r>
        <w:t xml:space="preserve"/>
      </w:r>
    </w:p>
    <w:p>
      <w:pPr>
        <w:pBdr>
          <w:bottom w:val="single" w:color="2E86C1" w:sz="8"/>
        </w:pBd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Autorizzazione Integrata Ambientale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Gestione documentale, workflow BPMN e analisi OCR/AI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1. Panoramica del Sistema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di Gestione AIA di Grandi Molini Italiani è una piattaforma web per la gestione completa dell'Autorizzazione Integrata Ambientale (AIA) di ciascuno stabilimento produttivo. Il sistema integra monitoraggio ambientale, gestione documentale, workflow BPMN personalizzabili e analisi automatica dei documenti tramite OCR e intelligenza artificiale.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1.1 Funzionalità principali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Gestione multi-stabilimento con profili utente separati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Tracciamento di scadenze, prescrizioni e dati ambientali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Sistema documentale (DMS) con versioning e metadati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Analisi automatica dei documenti via OCR/AI (estrazione di scadenze e prescrizioni)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Motore BPM con workflow BPMN 2.0 definibili visualmente dall'utente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Dashboard con indicatori di conformità e allerta scadenze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 in formato Excel per reportistica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1.2 Architettura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è composto da un backend Spring Boot 4 (Java 21) con API REST e da un frontend Angular 19. Il database predefinito è H2 (in-memory, per sviluppo locale) con possibilità di migrazione a PostgreSQL per ambienti di produzione.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Spring Boot + Java</w:t>
            </w:r>
          </w:p>
        </w:tc>
        <w:tc>
          <w:tcPr>
            <w:tcW w:type="dxa" w:w="3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4.0.2 / Java 21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Angular + TypeScript</w:t>
            </w:r>
          </w:p>
        </w:tc>
        <w:tc>
          <w:tcPr>
            <w:tcW w:type="dxa" w:w="3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19.x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H2 (dev) / PostgreSQL (prod)</w:t>
            </w:r>
          </w:p>
        </w:tc>
        <w:tc>
          <w:tcPr>
            <w:tcW w:type="dxa" w:w="3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Editor BPMN</w:t>
            </w:r>
          </w:p>
        </w:tc>
        <w:tc>
          <w:tcPr>
            <w:tcW w:type="dxa" w:w="3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bpmn-js</w:t>
            </w:r>
          </w:p>
        </w:tc>
        <w:tc>
          <w:tcPr>
            <w:tcW w:type="dxa" w:w="3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17.x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PDF / OCR</w:t>
            </w:r>
          </w:p>
        </w:tc>
        <w:tc>
          <w:tcPr>
            <w:tcW w:type="dxa" w:w="3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Apache PDFBox</w:t>
            </w:r>
          </w:p>
        </w:tc>
        <w:tc>
          <w:tcPr>
            <w:tcW w:type="dxa" w:w="3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3.0.x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2. Accesso al Sistema e Ruoli Utente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2.1 Accesso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Aprire il browser e navigare all'indirizzo dell'applicazione (es. http://localhost:4200 in locale). Inserire le credenziali nella schermata di login.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2.2 Credenziali di default (ambiente di sviluppo)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26"/>
      </w:tblGrid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2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Stabilimenti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Admin@123456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741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mauro.pasetto</w:t>
            </w:r>
          </w:p>
        </w:tc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Resp@123456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2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Livorno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operatore.venezia</w:t>
            </w:r>
          </w:p>
        </w:tc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Oper@123456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OPERATORE</w:t>
            </w:r>
          </w:p>
        </w:tc>
        <w:tc>
          <w:tcPr>
            <w:tcW w:type="dxa" w:w="2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Venezia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Le credenziali di default sono da modificare in ambiente di produzione tramite la sezione Utenti (accessibile solo agli ADMIN).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2.3 Ruoli e permessi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prevede tre livelli di accesso: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72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Capacità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741"/>
                <w:sz w:val="20"/>
                <w:szCs w:val="20"/>
              </w:rPr>
              <w:t xml:space="preserve">ADMIN</w:t>
            </w:r>
          </w:p>
        </w:tc>
        <w:tc>
          <w:tcPr>
            <w:tcW w:type="dxa" w:w="7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Accesso completo: gestione utenti, tutti gli stabilimenti, configurazione sistema e workflow BPMN.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7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Gestione operativa dei propri stabilimenti: prescrizioni, scadenze, documenti, avvio processi BPM. Non può creare utenti.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OPERATORE</w:t>
            </w:r>
          </w:p>
        </w:tc>
        <w:tc>
          <w:tcPr>
            <w:tcW w:type="dxa" w:w="72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Operatività base: inserimento dati ambientali, caricamento documenti, completamento task nei processi assegnati.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3. Dashboard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dashboard è la schermata principale accessibile dopo il login. Mostra una sintesi dello stato ambientale di tutti gli stabilimenti accessibili all'utente.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3.1 Widget principali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Scadenze imminenti (nei prossimi 30 giorni)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Contatore prescrizioni per stato (Aperta, In lavorazione, Chiusa)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Indicatore di conformità per matrice ambientale (Aria, Acqua, Suolo, Rifiuti...)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Grafico trend non conformità negli ultimi 6 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Processi BPM attivi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3.2 Navigazione rapida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 ciascun widget è possibile accedere direttamente alla sezione corrispondente con un click sul titolo o sul contatore.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4. Gestione Stabilimenti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sezione Stabilimenti permette di gestire l'anagrafica di ciascun sito produttivo e i relativi dati AIA.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4.1 Dati principali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Nome, città, indirizzo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Numero AIA, data di rilascio e data di scadenza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Ente competente (Regione/Provincia)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Responsabile ambientale e email di notifica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4.2 Operazioni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Stabilimenti nella barra di navigazione.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creare un nuovo stabilimento, premere il pulsante + Nuovo stabilimento e compilare il modulo.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modificare i dati di uno stabilimento esistente, fare click sull'icona matita nella riga corrispondente.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Salvare le modifiche con il pulsante Salva.</w:t>
      </w:r>
    </w:p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Solo gli utenti con ruolo ADMIN e RESPONSABILE possono creare o modificare stabilimenti.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5. Prescrizioni AIA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prescrizioni sono gli obblighi operativi contenuti nell'autorizzazione AIA. Ogni prescrizione è collegata a uno stabilimento, a una matrice ambientale e a un ciclo di vita definito.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5.1 Campi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Codice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Identificativo univoco (es. PRES-LI-2024-001)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Matrice ambientale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Aria, Acqua, Falda, Rumore, Suolo, Rifiuti, Illuminazione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Stato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Aperta | In lavorazione | In attesa integrazione | Chiusa | Sospesa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Priorità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Bassa | Media | Alta | Urgente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 emittente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Regione, ARPA o altro ente di riferimento</w:t>
            </w:r>
          </w:p>
        </w:tc>
      </w:tr>
      <w:tr>
        <w:tc>
          <w:tcPr>
            <w:tcW w:type="dxa" w:w="2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emissione e data scadenza della prescrizione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5.2 Ciclo di vita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Una prescrizione segue il seguente percorso di stato: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7741"/>
          <w:sz w:val="20"/>
          <w:szCs w:val="20"/>
        </w:rPr>
        <w:t xml:space="preserve">APERTA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IN LAVORAZIONE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D68910"/>
          <w:sz w:val="20"/>
          <w:szCs w:val="20"/>
        </w:rPr>
        <w:t xml:space="preserve">IN ATTESA INTEGRAZIONE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CHIUSA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6. Scadenze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scadenze rappresentano gli appuntamenti operativi derivanti dalle prescrizioni o dagli obblighi AIA. Il sistema invia notifiche email automatiche quando una scadenza si avvicina.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6.1 Tipi di scadenza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Monitoraggio PMC (Piano di Monitoraggio e Controllo)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Relazione Annuale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Integrazione 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Rinnovo AIA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Comunicazione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Altro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6.2 Gestione scadenze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lista scadenze mostra tutte le scadenze con filtri per stabilimento, tipo, stato e intervallo di date. Le scadenze in rosso sono scadute; quelle in arancione scadono entro 7 giorni.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6.3 Export Excel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Dal pulsante Esporta Excel in cima alla lista è possibile scaricare tutte le scadenze filtrate in formato .xlsx per la reportistica.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7. Gestione Documenti (DMS)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sezione Documenti gestisce tutti i documenti AIA caricati nel sistema: provvedimenti, relazioni, comunicazioni con gli enti. Ogni documento è dotato di metadati DMS e può essere sottoposto ad analisi OCR/AI.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7.1 Caricamento di un documento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Accedere a Documenti dalla barra di navigazione.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+ Nuovo documento.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Compilare: nome, stabilimento, tipo documento (Provvedimento, Relazione, Comunicazione, ...).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Trascinare il file PDF nel campo di upload oppure fare click per selezionarlo.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Salva.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7.2 Metadati DMS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Dopo il caricamento, il documento acquisisce i seguenti metadati gestibili dal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Metadato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Stato documento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Bozza → Ricevuto → In lavorazione → In revisione → Approvato → Archiviato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 emittente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Regione, ARPA o ente che ha emesso il documento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Oggetto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Oggetto sintetico del documento (estratto automaticamente se non inserito)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N° protocollo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Numero di protocollo dell'ente emittente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ricezione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di ricezione formale del documento</w:t>
            </w:r>
          </w:p>
        </w:tc>
      </w:tr>
      <w:tr>
        <w:tc>
          <w:tcPr>
            <w:tcW w:type="dxa" w:w="2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Tag</w:t>
            </w:r>
          </w:p>
        </w:tc>
        <w:tc>
          <w:tcPr>
            <w:tcW w:type="dxa" w:w="6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Tag liberi per la classificazione (es. "rinnovo", "aria", "urgente")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7.3 Analisi OCR / AI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ogni documento PDF è disponibile l'analisi automatica tramite il pulsante 🔍 nella riga del documento. Il sistema esegue: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Estrazione del testo tramite Apache PDFBox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Riconoscimento di date, scadenze, prescrizioni e enti tramite espressioni regolari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Arricchimento opzionale tramite API Anthropic Claude (se configurata con ANTHROPIC_API_KEY)</w:t>
      </w:r>
    </w:p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7.3.1 Flusso di analisi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🔍 (Analizza) nella riga del documento desiderato.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 apre il pannello di estrazione. Fare click su ▶ Avvia analisi.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estrae automaticamente scadenze e prescrizioni proposte.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Rivedere le entità proposte: selezionare quelle da creare, modificare date o descrizioni se necessario.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✓ Conferma e crea entità per salvare scadenze e prescrizioni nel sistema.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documento viene automaticamente promosso allo stato Approvato e il processo BPM avanza al task successivo.</w:t>
      </w:r>
    </w:p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Il grado di confidenza di ogni entità estratta è indicato da un badge colorato. Verde = alta confidenza; arancione = media; rosso = bassa confidenza. Si raccomanda di rivedere con attenzione le entità con confidenza bassa.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8. Processi BPM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modulo BPM (Business Process Management) permette di avviare e gestire workflow documentali. Ogni documento può essere associato a un processo che ne tracci il ciclo di vita passo dopo passo.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8.1 Accesso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Selezionare Processi BPM dalla barra di navigazione. La schermata si divide in due pannelli: la lista dei processi a sinistra e il dettaglio con i task a destra.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8.2 Avvio di un processo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▶ Nuovo processo in cima alla lista.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Scegliere la modalità del flusso: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Processo predefinito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selezionare tra i quattro tipi standard (Lavorazione Documento, Rinnovo AIA, Non Conformità, Integrazione 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Flusso personalizzato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selezionare una definizione creata dall'utente nell'editor BPMN (sezione Workflow).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Selezionare il documento e l'operatore assegnatario.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Avvia. Il sistema crea i task nella sequenza definita dal flusso.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8.3 Gestione dei task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Ogni processo è composto da una sequenza di task. Il task corrente è evidenziato in blu. Per completarlo: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Selezionare il processo dalla lista.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 pannello di destra, fare click su Gestisci task sul task IN CORSO.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Inserire l'esito (APPROVATO / RESPINTO / RIVISTO) e un commento opzionale.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Completa. Il processo avanza automaticamente al task successivo.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8.4 Azioni sul processo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6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Sospendi</w:t>
            </w:r>
          </w:p>
        </w:tc>
        <w:tc>
          <w:tcPr>
            <w:tcW w:type="dxa" w:w="6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Mette il processo in pausa. I task rimangono nel loro stato. Il processo riprende da dove si era fermato.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741"/>
                <w:sz w:val="20"/>
                <w:szCs w:val="20"/>
              </w:rPr>
              <w:t xml:space="preserve">Riprendi</w:t>
            </w:r>
          </w:p>
        </w:tc>
        <w:tc>
          <w:tcPr>
            <w:tcW w:type="dxa" w:w="6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Riattiva un processo sospeso o in attesa, riportandolo allo stato IN CORSO.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Annulla</w:t>
            </w:r>
          </w:p>
        </w:tc>
        <w:tc>
          <w:tcPr>
            <w:tcW w:type="dxa" w:w="6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Termina definitivamente il processo. Il documento torna allo stato Ricevuto.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8.5 Processi predefiniti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Lavorazione Documento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Ricezione, revisione metadati, estrazione entità, approvazione, archiviazione.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Rinnovo AIA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Avvio procedura, raccolta documenti, revisione, invio enti, attesa esito.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 Conformità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Rilevazione, analisi cause, piano azioni, verifica efficacia, chiusura.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Integrazione Ente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Ricezione richiesta, analisi, preparazione risposta, invio.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9. Gestione Workflow (Editor BPMN)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sezione Workflow permette di creare e modificare flussi di processo personalizzati tramite un editor visuale BPMN 2.0. I flussi definiti qui sono selezionabili all'avvio di un nuovo processo BPM.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9.1 Accesso all'editor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🎨 Workflow nella barra di navigazione. La schermata mostra la griglia delle definizioni di flusso esistenti.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9.2 Creazione di un nuovo flusso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➕ Nuovo flusso.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 apre l'editor BPMN a schermo intero con un diagramma di partenza (Start → Task 1 → Task 2 → End).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Inserire il nome del flusso nel campo in alto a sinistra. La descrizione è facoltativa.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Disegnare il diagramma utilizzando la palette sulla sinistra dell'editor.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🔍 Anteprima step per verificare la sequenza di task che il sistema eseguirà.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💾 Salva flusso.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9.3 Elementi BPMN supportati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nel processo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Start Event (cerchio verde)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Punto di partenza obbligatorio. Il parser BFS inizia da qui.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Task (rettangolo)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USER_TASK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Step manuale: richiede l'azione di un operatore per essere completato.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Task (rettangolo con ingranaggio)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SERVICE_TASK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Step automatico: viene registrato nel processo ma non blocca il flusso in attesa di utente.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End Event (cerchio rosso)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Punto di fine. Quando tutti i task precedenti sono completati, il processo viene chiuso.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Sequence Flow (freccia)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48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Definisce l'ordine di esecuzione dei task. Il parser segue le frecce in BFS.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I gateway (rombo) sono riconosciuti dal parser ma il motore BPM segue il primo ramo uscente. Per flussi con diramazioni condizionali è consigliato progettare sequenze lineari.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9.4 Modifica di un flusso esistente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Dalla griglia Workflow, fare click su ✏️ Modifica sulla card del flusso.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L'editor si apre con il diagramma corrente caricato.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Apportare le modifiche desiderate.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Salva flusso. Il numero di versione viene incrementato automaticamente.</w:t>
      </w:r>
    </w:p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I processi già avviati con una versione precedente del flusso proseguono con la sequenza originale. Solo i nuovi processi avviati dopo il salvataggio useranno la versione aggiornata.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9.5 Disattivazione di un flusso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🗑️ sulla card del flusso e confermare. Il flusso non sarà più selezionabile per nuovi processi, ma quelli già in corso non vengono interrotti.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9.6 Anteprima step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pulsante 🔍 Step sulla card (o nell'editor) mostra la sequenza esatta di task che il backend eseguirà, nell'ordine derivato dal parsing del BPMN. È utile per verificare prima del salvataggio che il diagramma produca la sequenza attesa.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9.7 Flusso predefinito: Lavorazione Documento AIA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 primo avvio del sistema viene creato automaticamente il flusso "Lavorazione Documento AIA" con i seguenti step: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000"/>
        <w:gridCol w:w="3626"/>
      </w:tblGrid>
      <w:tr>
        <w:tc>
          <w:tcPr>
            <w:tcW w:type="dxa" w:w="8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step</w:t>
            </w:r>
          </w:p>
        </w:tc>
        <w:tc>
          <w:tcPr>
            <w:tcW w:type="dxa" w:w="3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User Task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Ricezione e protocollazione</w:t>
            </w:r>
          </w:p>
        </w:tc>
        <w:tc>
          <w:tcPr>
            <w:tcW w:type="dxa" w:w="3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L'operatore registra il documento e assegna il numero di protocollo.</w:t>
            </w:r>
          </w:p>
        </w:tc>
      </w:tr>
      <w:tr>
        <w:tc>
          <w:tcPr>
            <w:tcW w:type="dxa" w:w="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Service Task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Analisi OCR / AI</w:t>
            </w:r>
          </w:p>
        </w:tc>
        <w:tc>
          <w:tcPr>
            <w:tcW w:type="dxa" w:w="3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Estrazione automatica di scadenze, prescrizioni e metadati dal PDF.</w:t>
            </w:r>
          </w:p>
        </w:tc>
      </w:tr>
      <w:tr>
        <w:tc>
          <w:tcPr>
            <w:tcW w:type="dxa" w:w="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User Task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Revisione entità estratte</w:t>
            </w:r>
          </w:p>
        </w:tc>
        <w:tc>
          <w:tcPr>
            <w:tcW w:type="dxa" w:w="3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L'operatore verifica e corregge le entità proposte dall'analisi AI.</w:t>
            </w:r>
          </w:p>
        </w:tc>
      </w:tr>
      <w:tr>
        <w:tc>
          <w:tcPr>
            <w:tcW w:type="dxa" w:w="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User Task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Approvazione e conferma</w:t>
            </w:r>
          </w:p>
        </w:tc>
        <w:tc>
          <w:tcPr>
            <w:tcW w:type="dxa" w:w="3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Il responsabile approva le entità e le rende operative nel sistema.</w:t>
            </w:r>
          </w:p>
        </w:tc>
      </w:tr>
      <w:tr>
        <w:tc>
          <w:tcPr>
            <w:tcW w:type="dxa" w:w="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Service Task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Archiviazione documento</w:t>
            </w:r>
          </w:p>
        </w:tc>
        <w:tc>
          <w:tcPr>
            <w:tcW w:type="dxa" w:w="36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Il documento viene archiviato e il processo si chiude automaticamente.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Questo flusso è modificabile dall'editor: è possibile aggiungere step di notifica, aggiungere validazioni intermedie o cambiare i nomi dei task senza modificare il codice.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10. Dati Ambientali e Monitoraggi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sezione Dati Ambientali raccoglie i risultati delle campagne di misura e dei monitoraggi periodici previsti dal Piano di Monitoraggio e Controllo (PMC).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10.1 Inserimento dati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Accedere a Dati Ambientali dalla barra di navigazione.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Fare click su + Nuovo campionamento.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Selezionare il punto di monitoraggio (Monitoraggio), la data di campionamento e il parametro misurato.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Inserire il valore misurato, l'unità di misura e il limite autorizzato.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calcola automaticamente la conformità (conforme / in attenzione / non conforme).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10.2 Indicatori di conformità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70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</w:tr>
      <w:tr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741"/>
                <w:sz w:val="20"/>
                <w:szCs w:val="20"/>
              </w:rPr>
              <w:t xml:space="preserve">CONFORME</w:t>
            </w:r>
          </w:p>
        </w:tc>
        <w:tc>
          <w:tcPr>
            <w:tcW w:type="dxa" w:w="70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Valore misurato ≤ 80% del limite autorizzato.</w:t>
            </w:r>
          </w:p>
        </w:tc>
      </w:tr>
      <w:tr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IN ATTENZIONE</w:t>
            </w:r>
          </w:p>
        </w:tc>
        <w:tc>
          <w:tcPr>
            <w:tcW w:type="dxa" w:w="70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Valore misurato tra l'80% e il 100% del limite.</w:t>
            </w:r>
          </w:p>
        </w:tc>
      </w:tr>
      <w:tr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7026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Valore misurato &gt; limite autorizzato. Viene generata un'allerta in dashboard.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11. Export e Reportistica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sistema permette di esportare i principali elenchi in formato Excel (.xlsx) per la reportistica verso enti di controllo o per uso interno.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11.1 Dati esportabili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Scadenze (con filtri per stabilimento, tipo, stato,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Dati Ambientali (tutti i campionamenti con indicatori di conformità)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Utenti (solo ADMIN)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11.2 Come esportare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 ciascuna sezione, fare click sul pulsante Esporta Excel in alto a destra nella lista. Il file viene scaricato direttamente dal browser.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Appendice A — Configurazione avanzata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A.1 Abilitare l'analisi AI (Anthropic)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attivare l'estrazione arricchita tramite il modello Claude di Anthropic, impostare le seguenti variabili d'ambiente prima di avviare il backend:</w:t>
      </w:r>
    </w:p>
    <w:p>
      <w:pPr>
        <w:spacing w:after="0" w:before="80"/>
      </w:pPr>
      <w:r>
        <w:t xml:space="preserve"/>
      </w:r>
    </w:p>
    <w:p>
      <w:pPr>
        <w:shd w:fill="1C1C1C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8C379"/>
          <w:sz w:val="20"/>
          <w:szCs w:val="20"/>
        </w:rPr>
        <w:t xml:space="preserve">ANTHROPIC_API_KEY=sk-ant-...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AIA_ESTRAZIONE_AI_ENABLED=true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AIA_ESTRAZIONE_AI_MODEL=claude-haiku-4-5-20251001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Senza queste variabili il sistema funziona ugualmente con l'estrazione basata su regex, senza costi di API.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A.2 Database PostgreSQL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passare da H2 a PostgreSQL aggiungere al file application.properties (o come variabili d'ambiente):</w:t>
      </w:r>
    </w:p>
    <w:p>
      <w:pPr>
        <w:spacing w:after="0" w:before="80"/>
      </w:pPr>
      <w:r>
        <w:t xml:space="preserve"/>
      </w:r>
    </w:p>
    <w:p>
      <w:pPr>
        <w:shd w:fill="1C1C1C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8C379"/>
          <w:sz w:val="20"/>
          <w:szCs w:val="20"/>
        </w:rPr>
        <w:t xml:space="preserve">SPRING_DATASOURCE_URL=jdbc:postgresql://host:5432/aia_db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SPRING_DATASOURCE_USERNAME=aia_user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SPRING_DATASOURCE_PASSWORD=password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SPRING_JPA_HIBERNATE_DDL_AUTO=update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80"/>
          <w:sz w:val="28"/>
          <w:szCs w:val="28"/>
        </w:rPr>
        <w:t xml:space="preserve">A.3 Avvio in locale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Backend: cd backend &amp;&amp; mvn spring-boot:run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Frontend: cd frontend &amp;&amp; npm install &amp;&amp; ng serve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Aprire il browser su http://localhost:4200</w:t>
      </w:r>
    </w:p>
    <w:p>
      <w:pPr>
        <w:spacing w:after="0" w:before="120"/>
      </w:pPr>
      <w:r>
        <w:t xml:space="preserve"/>
      </w:r>
    </w:p>
    <w:p>
      <w:pPr>
        <w:pBdr>
          <w:left w:val="single" w:color="2E86C1" w:sz="12"/>
        </w:pBdr>
        <w:spacing w:after="80" w:before="80"/>
        <w:ind w:left="3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Al primo avvio il sistema crea automaticamente i dati di esempio (stabilimenti, utenti, prescrizioni, scadenze) e il flusso BPMN "Lavorazione Documento AIA".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D6D7E"/>
        <w:sz w:val="16"/>
        <w:szCs w:val="16"/>
      </w:rPr>
      <w:t xml:space="preserve">Uso interno — Confidenziale</w:t>
    </w:r>
    <w:r>
      <w:rPr>
        <w:rFonts w:ascii="Arial" w:cs="Arial" w:eastAsia="Arial" w:hAnsi="Arial"/>
        <w:color w:val="5D6D7E"/>
        <w:sz w:val="16"/>
        <w:szCs w:val="16"/>
      </w:rPr>
      <w:t xml:space="preserve">	Pagina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di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8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D6D7E"/>
        <w:sz w:val="18"/>
        <w:szCs w:val="18"/>
      </w:rPr>
      <w:t xml:space="preserve">Grandi Molini Italiani — Sistema di Gestione AIA</w:t>
    </w:r>
    <w:r>
      <w:rPr>
        <w:rFonts w:ascii="Arial" w:cs="Arial" w:eastAsia="Arial" w:hAnsi="Arial"/>
        <w:color w:val="5D6D7E"/>
        <w:sz w:val="18"/>
        <w:szCs w:val="18"/>
      </w:rPr>
      <w:t xml:space="preserve">	Manuale Utente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543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2026-03-01T16:47:22.640Z</dcterms:created>
  <dcterms:modified xsi:type="dcterms:W3CDTF">2026-03-01T16:47:22.640Z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