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732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finc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7323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40"/>
        <w:jc w:val="center"/>
      </w:pPr>
      <w:r>
        <w:rPr>
          <w:b/>
          <w:i w:val="0"/>
          <w:color w:val="2B2B2B"/>
          <w:sz w:val="64"/>
        </w:rPr>
        <w:t>Modulo AI Wiki</w:t>
      </w:r>
    </w:p>
    <w:p>
      <w:pPr>
        <w:spacing w:after="80"/>
        <w:jc w:val="center"/>
      </w:pPr>
      <w:r>
        <w:rPr>
          <w:b w:val="0"/>
          <w:i w:val="0"/>
          <w:color w:val="58595B"/>
          <w:sz w:val="30"/>
        </w:rPr>
        <w:t>Assistente di conoscenza per AIA Management System</w:t>
      </w:r>
    </w:p>
    <w:p>
      <w:pPr>
        <w:spacing w:after="360"/>
        <w:jc w:val="center"/>
        <w:pBdr>
          <w:bottom w:val="single" w:sz="18" w:space="4" w:color="B0173A"/>
        </w:pBdr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/>
          <w:i w:val="0"/>
          <w:color w:val="B0173A"/>
          <w:sz w:val="26"/>
        </w:rPr>
        <w:t>Soluzione tecnica e piano di adozione</w:t>
      </w:r>
    </w:p>
    <w:p>
      <w:pPr>
        <w:spacing w:after="600"/>
        <w:jc w:val="center"/>
      </w:pPr>
      <w:r>
        <w:rPr>
          <w:b w:val="0"/>
          <w:i w:val="0"/>
          <w:color w:val="58595B"/>
          <w:sz w:val="24"/>
        </w:rPr>
        <w:t>Ambienti di Stage e Produzione</w:t>
      </w:r>
    </w:p>
    <w:p/>
    <w:p/>
    <w:p/>
    <w:p/>
    <w:p/>
    <w:p/>
    <w:p>
      <w:pPr>
        <w:spacing w:after="0"/>
        <w:jc w:val="center"/>
      </w:pPr>
      <w:r>
        <w:rPr>
          <w:b/>
          <w:i w:val="0"/>
          <w:color w:val="58595B"/>
          <w:sz w:val="22"/>
        </w:rPr>
        <w:t>Fincons Group</w:t>
      </w:r>
    </w:p>
    <w:p>
      <w:pPr>
        <w:jc w:val="center"/>
      </w:pPr>
      <w:r>
        <w:rPr>
          <w:b w:val="0"/>
          <w:i w:val="0"/>
          <w:color w:val="58595B"/>
          <w:sz w:val="20"/>
        </w:rPr>
        <w:t>Luglio 2026  ·  Versione 1.0  ·  Riservato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Il Modulo AI Wiki aggiunge ad AIA Management System un assistente di conoscenza basato su intelligenza artificiale generativa: trasforma documenti autorizzativi e dati strutturati dello stabilimento (prescrizioni, scadenze, camini, dati ambientali, produzione, rifiuti) in una wiki navigabile e in un assistente conversazionale che risponde in linguaggio naturale citando le fonti.</w:t>
      </w:r>
    </w:p>
    <w:p>
      <w:r>
        <w:rPr>
          <w:b w:val="0"/>
          <w:i w:val="0"/>
        </w:rPr>
        <w:t>Il modulo deriva dal porting di una soluzione Fincons già sviluppata e collaudata (PerformPlus ESG — modulo AI), adattata al dominio delle Autorizzazioni Integrate Ambientali. Questo riduce drasticamente tempi e rischi di realizzazione: il piano di lavoro complessivo è di circa due settimane.</w:t>
      </w:r>
    </w:p>
    <w:p>
      <w:pPr>
        <w:pStyle w:val="ListBullet"/>
      </w:pPr>
      <w:r>
        <w:rPr>
          <w:b/>
        </w:rPr>
        <w:t xml:space="preserve">Risposte affidabili: </w:t>
      </w:r>
      <w:r>
        <w:t>l'assistente risponde solo sulla base della conoscenza aziendale indicizzata, con fonti citate (documenti e dati di sistema).</w:t>
      </w:r>
    </w:p>
    <w:p>
      <w:pPr>
        <w:pStyle w:val="ListBullet"/>
      </w:pPr>
      <w:r>
        <w:rPr>
          <w:b/>
        </w:rPr>
        <w:t xml:space="preserve">Capacità agentiche: </w:t>
      </w:r>
      <w:r>
        <w:t>genera grafici, previsioni deterministiche e bozze di report Word/PowerPoint su richiesta.</w:t>
      </w:r>
    </w:p>
    <w:p>
      <w:pPr>
        <w:pStyle w:val="ListBullet"/>
      </w:pPr>
      <w:r>
        <w:rPr>
          <w:b/>
        </w:rPr>
        <w:t xml:space="preserve">Costi sotto controllo: </w:t>
      </w:r>
      <w:r>
        <w:t>embedding e ricerca sono locali (a costo zero); l'unico costo variabile è l'API del modello linguistico, con tetto giornaliero configurabile.</w:t>
      </w:r>
    </w:p>
    <w:p>
      <w:pPr>
        <w:pStyle w:val="ListBullet"/>
      </w:pPr>
      <w:r>
        <w:rPr>
          <w:b/>
        </w:rPr>
        <w:t xml:space="preserve">Dati in Italia/UE: </w:t>
      </w:r>
      <w:r>
        <w:t>l'infrastruttura proposta risiede in datacenter italiani o europei, in linea con il GDPR; verso l'esterno transita solo la conversazione con il modello linguistico, regolata da DPA.</w:t>
      </w:r>
    </w:p>
    <w:p>
      <w:pPr>
        <w:pStyle w:val="Heading1"/>
      </w:pPr>
      <w:r>
        <w:t>2. Cosa fa il modulo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215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ttro_pass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21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2.1 Le quattro funzionalità</w:t>
      </w:r>
    </w:p>
    <w:p>
      <w:pPr>
        <w:pStyle w:val="ListBullet"/>
      </w:pPr>
      <w:r>
        <w:rPr>
          <w:b/>
        </w:rPr>
        <w:t xml:space="preserve">Wiki della conoscenza a grafo — </w:t>
      </w:r>
      <w:r>
        <w:t>pagine generate automaticamente dai documenti AIA e dai dati di sistema, collegate da relazioni tipizzate e navigabili (stabilimento → prescrizioni → scadenze, camini → parametri e limiti, ecc.).</w:t>
      </w:r>
    </w:p>
    <w:p>
      <w:pPr>
        <w:pStyle w:val="ListBullet"/>
      </w:pPr>
      <w:r>
        <w:rPr>
          <w:b/>
        </w:rPr>
        <w:t xml:space="preserve">Chat RAG sui propri dati — </w:t>
      </w:r>
      <w:r>
        <w:t>domande in linguaggio naturale con risposte fondate esclusivamente sulla base di conoscenza aziendale; ogni risposta cita le fonti utilizzate.</w:t>
      </w:r>
    </w:p>
    <w:p>
      <w:pPr>
        <w:pStyle w:val="ListBullet"/>
      </w:pPr>
      <w:r>
        <w:rPr>
          <w:b/>
        </w:rPr>
        <w:t xml:space="preserve">Chat agentica — </w:t>
      </w:r>
      <w:r>
        <w:t>generazione di grafici, previsioni (forecast deterministico), bozze di report Word e presentazioni PowerPoint tramite function-calling.</w:t>
      </w:r>
    </w:p>
    <w:p>
      <w:pPr>
        <w:pStyle w:val="ListBullet"/>
      </w:pPr>
      <w:r>
        <w:rPr>
          <w:b/>
        </w:rPr>
        <w:t xml:space="preserve">Ingestione automatica — </w:t>
      </w:r>
      <w:r>
        <w:t>ogni documento caricato, modificato o eliminato nel modulo Documenti viene indicizzato in modo asincrono, senza intervento manuale.</w:t>
      </w:r>
    </w:p>
    <w:p>
      <w:r>
        <w:rPr>
          <w:b w:val="0"/>
          <w:i/>
          <w:color w:val="58595B"/>
        </w:rPr>
        <w:t>Esempi d'uso: “Quali scadenze AIA ha lo stabilimento nei prossimi tre mesi?”, “Mostrami i superamenti dei limiti del camino E1 nell'ultimo anno”, “Genera un grafico dei rifiuti prodotti per codice CER e una bozza di relazione”.</w:t>
      </w:r>
    </w:p>
    <w:p>
      <w:pPr>
        <w:pStyle w:val="Heading2"/>
      </w:pPr>
      <w:r>
        <w:t>2.2 La mappa della conoscenza</w:t>
      </w:r>
    </w:p>
    <w:p>
      <w:r>
        <w:rPr>
          <w:b w:val="0"/>
          <w:i w:val="0"/>
        </w:rPr>
        <w:t>Oltre ai documenti, il modulo proietta nel grafo i dati già presenti nel sistema, a costo zero di elaborazione AI: la struttura nasce direttamente dal database relazionale.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42487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a_conoscenz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248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Soluzione tecnica</w:t>
      </w:r>
    </w:p>
    <w:p>
      <w:pPr>
        <w:pStyle w:val="Heading2"/>
      </w:pPr>
      <w:r>
        <w:t>3.1 Componenti e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  <w:shd w:val="clear" w:fill="B0173A"/>
          </w:tcPr>
          <w:p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061"/>
            <w:shd w:val="clear" w:fill="B0173A"/>
          </w:tcPr>
          <w:p>
            <w:r>
              <w:rPr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4422"/>
            <w:shd w:val="clear" w:fill="B0173A"/>
          </w:tcPr>
          <w:p>
            <w:r>
              <w:rPr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Java 21 · Spring Boot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  <w:t>il modulo AI è integrato nel backend esistente (package dedicato)</w:t>
            </w:r>
          </w:p>
        </w:tc>
      </w:tr>
      <w:tr>
        <w:tc>
          <w:tcPr>
            <w:tcW w:type="dxa" w:w="1928"/>
            <w:shd w:val="clear" w:fill="F5F3F0"/>
          </w:tcPr>
          <w:p>
            <w:r>
              <w:rPr>
                <w:sz w:val="19"/>
              </w:rPr>
              <w:t>Orchestrazione LLM</w:t>
            </w:r>
          </w:p>
        </w:tc>
        <w:tc>
          <w:tcPr>
            <w:tcW w:type="dxa" w:w="3061"/>
            <w:shd w:val="clear" w:fill="F5F3F0"/>
          </w:tcPr>
          <w:p>
            <w:r>
              <w:rPr>
                <w:sz w:val="19"/>
              </w:rPr>
              <w:t>LangChain4j</w:t>
            </w:r>
          </w:p>
        </w:tc>
        <w:tc>
          <w:tcPr>
            <w:tcW w:type="dxa" w:w="4422"/>
            <w:shd w:val="clear" w:fill="F5F3F0"/>
          </w:tcPr>
          <w:p>
            <w:r>
              <w:rPr>
                <w:sz w:val="19"/>
              </w:rPr>
              <w:t>multi-provider: Anthropic Claude di default, OpenAI/on-prem configurabile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Modelli linguistici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Claude (Haiku / Sonnet / Opus)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  <w:t>routing automatico per complessità + prompt caching</w:t>
            </w:r>
          </w:p>
        </w:tc>
      </w:tr>
      <w:tr>
        <w:tc>
          <w:tcPr>
            <w:tcW w:type="dxa" w:w="1928"/>
            <w:shd w:val="clear" w:fill="F5F3F0"/>
          </w:tcPr>
          <w:p>
            <w:r>
              <w:rPr>
                <w:sz w:val="19"/>
              </w:rPr>
              <w:t>Embedding</w:t>
            </w:r>
          </w:p>
        </w:tc>
        <w:tc>
          <w:tcPr>
            <w:tcW w:type="dxa" w:w="3061"/>
            <w:shd w:val="clear" w:fill="F5F3F0"/>
          </w:tcPr>
          <w:p>
            <w:r>
              <w:rPr>
                <w:sz w:val="19"/>
              </w:rPr>
              <w:t>ONNX in-process (MiniLM, 384 dim)</w:t>
            </w:r>
          </w:p>
        </w:tc>
        <w:tc>
          <w:tcPr>
            <w:tcW w:type="dxa" w:w="4422"/>
            <w:shd w:val="clear" w:fill="F5F3F0"/>
          </w:tcPr>
          <w:p>
            <w:r>
              <w:rPr>
                <w:sz w:val="19"/>
              </w:rPr>
              <w:t>locali e gratuiti: nessun dato inviato all'esterno per l'indicizzazione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Vector store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PostgreSQL 16 + pgvector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  <w:t>stesso database applicativo, indici HNSW</w:t>
            </w:r>
          </w:p>
        </w:tc>
      </w:tr>
      <w:tr>
        <w:tc>
          <w:tcPr>
            <w:tcW w:type="dxa" w:w="1928"/>
            <w:shd w:val="clear" w:fill="F5F3F0"/>
          </w:tcPr>
          <w:p>
            <w:r>
              <w:rPr>
                <w:sz w:val="19"/>
              </w:rPr>
              <w:t>Estrazione testi</w:t>
            </w:r>
          </w:p>
        </w:tc>
        <w:tc>
          <w:tcPr>
            <w:tcW w:type="dxa" w:w="3061"/>
            <w:shd w:val="clear" w:fill="F5F3F0"/>
          </w:tcPr>
          <w:p>
            <w:r>
              <w:rPr>
                <w:sz w:val="19"/>
              </w:rPr>
              <w:t>Apache Tika</w:t>
            </w:r>
          </w:p>
        </w:tc>
        <w:tc>
          <w:tcPr>
            <w:tcW w:type="dxa" w:w="4422"/>
            <w:shd w:val="clear" w:fill="F5F3F0"/>
          </w:tcPr>
          <w:p>
            <w:r>
              <w:rPr>
                <w:sz w:val="19"/>
              </w:rPr>
              <w:t>PDF, Office e formati comuni</w:t>
            </w:r>
          </w:p>
        </w:tc>
      </w:tr>
      <w:tr>
        <w:tc>
          <w:tcPr>
            <w:tcW w:type="dxa" w:w="1928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Angular 19 · Bootstrap 5</w:t>
            </w:r>
          </w:p>
        </w:tc>
        <w:tc>
          <w:tcPr>
            <w:tcW w:type="dxa" w:w="4422"/>
          </w:tcPr>
          <w:p>
            <w:r>
              <w:rPr>
                <w:sz w:val="19"/>
              </w:rPr>
              <w:t>nuova sezione “Assistente AI” con chat e navigazione wiki</w:t>
            </w:r>
          </w:p>
        </w:tc>
      </w:tr>
      <w:tr>
        <w:tc>
          <w:tcPr>
            <w:tcW w:type="dxa" w:w="1928"/>
            <w:shd w:val="clear" w:fill="F5F3F0"/>
          </w:tcPr>
          <w:p>
            <w:r>
              <w:rPr>
                <w:sz w:val="19"/>
              </w:rPr>
              <w:t>Guardrail</w:t>
            </w:r>
          </w:p>
        </w:tc>
        <w:tc>
          <w:tcPr>
            <w:tcW w:type="dxa" w:w="3061"/>
            <w:shd w:val="clear" w:fill="F5F3F0"/>
          </w:tcPr>
          <w:p>
            <w:r>
              <w:rPr>
                <w:sz w:val="19"/>
              </w:rPr>
              <w:t>Budget token giornaliero</w:t>
            </w:r>
          </w:p>
        </w:tc>
        <w:tc>
          <w:tcPr>
            <w:tcW w:type="dxa" w:w="4422"/>
            <w:shd w:val="clear" w:fill="F5F3F0"/>
          </w:tcPr>
          <w:p>
            <w:r>
              <w:rPr>
                <w:sz w:val="19"/>
              </w:rPr>
              <w:t>superata la soglia il servizio risponde HTTP 429: tetto di spesa certo</w:t>
            </w:r>
          </w:p>
        </w:tc>
      </w:tr>
    </w:tbl>
    <w:p>
      <w:pPr>
        <w:spacing w:after="40"/>
      </w:pPr>
    </w:p>
    <w:p>
      <w:pPr>
        <w:pStyle w:val="Heading2"/>
      </w:pPr>
      <w:r>
        <w:t>3.2 Come lavora</w:t>
      </w:r>
    </w:p>
    <w:p>
      <w:pPr>
        <w:pStyle w:val="ListBullet"/>
      </w:pPr>
      <w:r>
        <w:rPr>
          <w:b/>
        </w:rPr>
        <w:t xml:space="preserve">Ingestione: </w:t>
      </w:r>
      <w:r>
        <w:t>estrazione testo (Tika) → suddivisione in chunk → embedding locali → indicizzazione in pgvector; deduplica tramite checksum, re-indicizzazione solo di ciò che cambia.</w:t>
      </w:r>
    </w:p>
    <w:p>
      <w:pPr>
        <w:pStyle w:val="ListBullet"/>
      </w:pPr>
      <w:r>
        <w:rPr>
          <w:b/>
        </w:rPr>
        <w:t xml:space="preserve">Risposta: </w:t>
      </w:r>
      <w:r>
        <w:t>ricerca vettoriale + navigazione del grafo (locali, zero token) selezionano il contesto pertinente; solo il ragionamento finale è affidato al modello linguistico.</w:t>
      </w:r>
    </w:p>
    <w:p>
      <w:pPr>
        <w:pStyle w:val="ListBullet"/>
      </w:pPr>
      <w:r>
        <w:rPr>
          <w:b/>
        </w:rPr>
        <w:t xml:space="preserve">Sicurezza: </w:t>
      </w:r>
      <w:r>
        <w:t>gli endpoint rispettano i ruoli e il perimetro per stabilimento già in uso nel sistema; il modulo è attivabile/disattivabile con una feature flag senza impatti sul resto dell'applicazione.</w:t>
      </w:r>
    </w:p>
    <w:p>
      <w:pPr>
        <w:pStyle w:val="Heading1"/>
      </w:pPr>
      <w:r>
        <w:t>4. Ambienti: Stage e Produzione</w:t>
      </w:r>
    </w:p>
    <w:p>
      <w:r>
        <w:rPr>
          <w:b w:val="0"/>
          <w:i w:val="0"/>
        </w:rPr>
        <w:t>La soluzione prevede due ambienti separati e allineati, su datacenter in Italia o Unione Europea. Il dimensionamento tiene conto dei consumi misurati del modulo AI (runtime ONNX ed elaborazione documentale inclusi) con ampio margine di crescita.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704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ttu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70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4.1 Ambiente di Stage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fill="B0173A"/>
          </w:tcPr>
          <w:p>
            <w:r>
              <w:rPr>
                <w:b/>
                <w:color w:val="FFFFFF"/>
                <w:sz w:val="20"/>
              </w:rPr>
              <w:t>Caratteristica</w:t>
            </w:r>
          </w:p>
        </w:tc>
        <w:tc>
          <w:tcPr>
            <w:tcW w:type="dxa" w:w="7030"/>
            <w:shd w:val="clear" w:fill="B0173A"/>
          </w:tcPr>
          <w:p>
            <w:r>
              <w:rPr>
                <w:b/>
                <w:color w:val="FFFFFF"/>
                <w:sz w:val="20"/>
              </w:rPr>
              <w:t>Specifica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Topologia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1 VM con stack completo (docker-compose): Nginx, backend con modulo AI, PostgreSQL + pgvector</w:t>
            </w:r>
          </w:p>
        </w:tc>
      </w:tr>
      <w:tr>
        <w:tc>
          <w:tcPr>
            <w:tcW w:type="dxa" w:w="2381"/>
            <w:shd w:val="clear" w:fill="F5F3F0"/>
          </w:tcPr>
          <w:p>
            <w:r>
              <w:rPr>
                <w:sz w:val="19"/>
              </w:rPr>
              <w:t>Dimensionamento</w:t>
            </w:r>
          </w:p>
        </w:tc>
        <w:tc>
          <w:tcPr>
            <w:tcW w:type="dxa" w:w="7030"/>
            <w:shd w:val="clear" w:fill="F5F3F0"/>
          </w:tcPr>
          <w:p>
            <w:r>
              <w:rPr>
                <w:sz w:val="19"/>
              </w:rPr>
              <w:t>4 vCPU · 8 GB RAM · 100 GB SSD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Funzione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collaudo dei rilasci, UAT del cliente, test di ingestione e dei budget token; ospita il runner CI/CD</w:t>
            </w:r>
          </w:p>
        </w:tc>
      </w:tr>
      <w:tr>
        <w:tc>
          <w:tcPr>
            <w:tcW w:type="dxa" w:w="2381"/>
            <w:shd w:val="clear" w:fill="F5F3F0"/>
          </w:tcPr>
          <w:p>
            <w:r>
              <w:rPr>
                <w:sz w:val="19"/>
              </w:rPr>
              <w:t>Backup</w:t>
            </w:r>
          </w:p>
        </w:tc>
        <w:tc>
          <w:tcPr>
            <w:tcW w:type="dxa" w:w="7030"/>
            <w:shd w:val="clear" w:fill="F5F3F0"/>
          </w:tcPr>
          <w:p>
            <w:r>
              <w:rPr>
                <w:sz w:val="19"/>
              </w:rPr>
              <w:t>snapshot settimanale della VM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Costo indicativo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Aruba Cloud (IT): ~40 €/mese · Hetzner (UE): ~10 €/mese</w:t>
            </w:r>
          </w:p>
        </w:tc>
      </w:tr>
    </w:tbl>
    <w:p>
      <w:pPr>
        <w:spacing w:after="40"/>
      </w:pPr>
    </w:p>
    <w:p>
      <w:pPr>
        <w:pStyle w:val="Heading2"/>
      </w:pPr>
      <w:r>
        <w:t>4.2 Ambiente di Produzione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fill="B0173A"/>
          </w:tcPr>
          <w:p>
            <w:r>
              <w:rPr>
                <w:b/>
                <w:color w:val="FFFFFF"/>
                <w:sz w:val="20"/>
              </w:rPr>
              <w:t>Caratteristica</w:t>
            </w:r>
          </w:p>
        </w:tc>
        <w:tc>
          <w:tcPr>
            <w:tcW w:type="dxa" w:w="7030"/>
            <w:shd w:val="clear" w:fill="B0173A"/>
          </w:tcPr>
          <w:p>
            <w:r>
              <w:rPr>
                <w:b/>
                <w:color w:val="FFFFFF"/>
                <w:sz w:val="20"/>
              </w:rPr>
              <w:t>Specifica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Topologia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2 VM su rete privata: VM applicativa (Nginx + backend/modulo AI) e VM database dedicata</w:t>
            </w:r>
          </w:p>
        </w:tc>
      </w:tr>
      <w:tr>
        <w:tc>
          <w:tcPr>
            <w:tcW w:type="dxa" w:w="2381"/>
            <w:shd w:val="clear" w:fill="F5F3F0"/>
          </w:tcPr>
          <w:p>
            <w:r>
              <w:rPr>
                <w:sz w:val="19"/>
              </w:rPr>
              <w:t>VM applicativa</w:t>
            </w:r>
          </w:p>
        </w:tc>
        <w:tc>
          <w:tcPr>
            <w:tcW w:type="dxa" w:w="7030"/>
            <w:shd w:val="clear" w:fill="F5F3F0"/>
          </w:tcPr>
          <w:p>
            <w:r>
              <w:rPr>
                <w:sz w:val="19"/>
              </w:rPr>
              <w:t>8 vCPU · 16 GB RAM · 160 GB SSD — heap dimensionato per picchi di ingestione (Tika) e runtime ONNX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VM database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4 vCPU · 8 GB RAM · 100 GB SSD — PostgreSQL 16 + pgvector</w:t>
            </w:r>
          </w:p>
        </w:tc>
      </w:tr>
      <w:tr>
        <w:tc>
          <w:tcPr>
            <w:tcW w:type="dxa" w:w="2381"/>
            <w:shd w:val="clear" w:fill="F5F3F0"/>
          </w:tcPr>
          <w:p>
            <w:r>
              <w:rPr>
                <w:sz w:val="19"/>
              </w:rPr>
              <w:t>Sicurezza</w:t>
            </w:r>
          </w:p>
        </w:tc>
        <w:tc>
          <w:tcPr>
            <w:tcW w:type="dxa" w:w="7030"/>
            <w:shd w:val="clear" w:fill="F5F3F0"/>
          </w:tcPr>
          <w:p>
            <w:r>
              <w:rPr>
                <w:sz w:val="19"/>
              </w:rPr>
              <w:t>TLS (Let's Encrypt), firewall gestito, DB non esposto su internet, accessi SSH con chiave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Backup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snapshot giornaliero + dump notturno del database conservato off-site (RPO 24h)</w:t>
            </w:r>
          </w:p>
        </w:tc>
      </w:tr>
      <w:tr>
        <w:tc>
          <w:tcPr>
            <w:tcW w:type="dxa" w:w="2381"/>
            <w:shd w:val="clear" w:fill="F5F3F0"/>
          </w:tcPr>
          <w:p>
            <w:r>
              <w:rPr>
                <w:sz w:val="19"/>
              </w:rPr>
              <w:t>Monitoraggio</w:t>
            </w:r>
          </w:p>
        </w:tc>
        <w:tc>
          <w:tcPr>
            <w:tcW w:type="dxa" w:w="7030"/>
            <w:shd w:val="clear" w:fill="F5F3F0"/>
          </w:tcPr>
          <w:p>
            <w:r>
              <w:rPr>
                <w:sz w:val="19"/>
              </w:rPr>
              <w:t>uptime, risorse e log centralizzati con alerting (es. Grafana/Uptime Kuma su Stage)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Deploy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CI/CD GitHub Actions: build su Stage, promozione manuale in Produzione</w:t>
            </w:r>
          </w:p>
        </w:tc>
      </w:tr>
      <w:tr>
        <w:tc>
          <w:tcPr>
            <w:tcW w:type="dxa" w:w="2381"/>
            <w:shd w:val="clear" w:fill="F5F3F0"/>
          </w:tcPr>
          <w:p>
            <w:r>
              <w:rPr>
                <w:sz w:val="19"/>
              </w:rPr>
              <w:t>Costo indicativo</w:t>
            </w:r>
          </w:p>
        </w:tc>
        <w:tc>
          <w:tcPr>
            <w:tcW w:type="dxa" w:w="7030"/>
            <w:shd w:val="clear" w:fill="F5F3F0"/>
          </w:tcPr>
          <w:p>
            <w:r>
              <w:rPr>
                <w:sz w:val="19"/>
              </w:rPr>
              <w:t>Aruba Cloud (IT): ~115 €/mese · Hetzner (UE): ~26 €/mese</w:t>
            </w:r>
          </w:p>
        </w:tc>
      </w:tr>
    </w:tbl>
    <w:p>
      <w:pPr>
        <w:spacing w:after="40"/>
      </w:pPr>
    </w:p>
    <w:p>
      <w:pPr>
        <w:pStyle w:val="Heading2"/>
      </w:pPr>
      <w:r>
        <w:t>4.3 Scelta del provider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814"/>
            <w:shd w:val="clear" w:fill="B0173A"/>
          </w:tcPr>
          <w:p>
            <w:r>
              <w:rPr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2268"/>
            <w:shd w:val="clear" w:fill="B0173A"/>
          </w:tcPr>
          <w:p>
            <w:r>
              <w:rPr>
                <w:b/>
                <w:color w:val="FFFFFF"/>
                <w:sz w:val="20"/>
              </w:rPr>
              <w:t>Datacenter</w:t>
            </w:r>
          </w:p>
        </w:tc>
        <w:tc>
          <w:tcPr>
            <w:tcW w:type="dxa" w:w="3742"/>
            <w:shd w:val="clear" w:fill="B0173A"/>
          </w:tcPr>
          <w:p>
            <w:r>
              <w:rPr>
                <w:b/>
                <w:color w:val="FFFFFF"/>
                <w:sz w:val="20"/>
              </w:rPr>
              <w:t>Profilo</w:t>
            </w:r>
          </w:p>
        </w:tc>
        <w:tc>
          <w:tcPr>
            <w:tcW w:type="dxa" w:w="1587"/>
            <w:shd w:val="clear" w:fill="B0173A"/>
          </w:tcPr>
          <w:p>
            <w:r>
              <w:rPr>
                <w:b/>
                <w:color w:val="FFFFFF"/>
                <w:sz w:val="20"/>
              </w:rPr>
              <w:t>Costo stage+prod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Aruba Cloud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Italia (Arezzo/Bergamo)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  <w:t>provider italiano, fatturazione e supporto in italiano, dati sul territorio nazionale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~155 €/mese</w:t>
            </w:r>
          </w:p>
        </w:tc>
      </w:tr>
      <w:tr>
        <w:tc>
          <w:tcPr>
            <w:tcW w:type="dxa" w:w="1814"/>
            <w:shd w:val="clear" w:fill="F5F3F0"/>
          </w:tcPr>
          <w:p>
            <w:r>
              <w:rPr>
                <w:sz w:val="19"/>
              </w:rPr>
              <w:t>Hetzner</w:t>
            </w:r>
          </w:p>
        </w:tc>
        <w:tc>
          <w:tcPr>
            <w:tcW w:type="dxa" w:w="2268"/>
            <w:shd w:val="clear" w:fill="F5F3F0"/>
          </w:tcPr>
          <w:p>
            <w:r>
              <w:rPr>
                <w:sz w:val="19"/>
              </w:rPr>
              <w:t>Germania/Finlandia (UE)</w:t>
            </w:r>
          </w:p>
        </w:tc>
        <w:tc>
          <w:tcPr>
            <w:tcW w:type="dxa" w:w="3742"/>
            <w:shd w:val="clear" w:fill="F5F3F0"/>
          </w:tcPr>
          <w:p>
            <w:r>
              <w:rPr>
                <w:sz w:val="19"/>
              </w:rPr>
              <w:t>miglior rapporto prezzo/prestazioni in ambito UE, GDPR-compliant</w:t>
            </w:r>
          </w:p>
        </w:tc>
        <w:tc>
          <w:tcPr>
            <w:tcW w:type="dxa" w:w="1587"/>
            <w:shd w:val="clear" w:fill="F5F3F0"/>
          </w:tcPr>
          <w:p>
            <w:r>
              <w:rPr>
                <w:sz w:val="19"/>
              </w:rPr>
              <w:t>~36 €/mese</w:t>
            </w:r>
          </w:p>
        </w:tc>
      </w:tr>
      <w:tr>
        <w:tc>
          <w:tcPr>
            <w:tcW w:type="dxa" w:w="1814"/>
          </w:tcPr>
          <w:p>
            <w:r>
              <w:rPr>
                <w:sz w:val="19"/>
              </w:rPr>
              <w:t>Azure (Italy North)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Milano</w:t>
            </w:r>
          </w:p>
        </w:tc>
        <w:tc>
          <w:tcPr>
            <w:tcW w:type="dxa" w:w="3742"/>
          </w:tcPr>
          <w:p>
            <w:r>
              <w:rPr>
                <w:sz w:val="19"/>
              </w:rPr>
              <w:t>opzione enterprise/PaaS se richiesta da policy IT del cliente</w:t>
            </w:r>
          </w:p>
        </w:tc>
        <w:tc>
          <w:tcPr>
            <w:tcW w:type="dxa" w:w="1587"/>
          </w:tcPr>
          <w:p>
            <w:r>
              <w:rPr>
                <w:sz w:val="19"/>
              </w:rPr>
              <w:t>~3–5× Aruba</w:t>
            </w:r>
          </w:p>
        </w:tc>
      </w:tr>
    </w:tbl>
    <w:p>
      <w:pPr>
        <w:spacing w:after="40"/>
      </w:pPr>
    </w:p>
    <w:p>
      <w:r>
        <w:rPr>
          <w:b w:val="0"/>
          <w:i/>
          <w:color w:val="58595B"/>
        </w:rPr>
        <w:t>Raccomandazione: Aruba Cloud se la residenza del dato in Italia è un requisito del cliente; Hetzner se prevale l'ottimizzazione dei costi restando in ambito UE. La soluzione è identica nei due casi (Docker), la migrazione tra provider è a basso sforzo.</w:t>
      </w:r>
    </w:p>
    <w:p>
      <w:r>
        <w:br w:type="page"/>
      </w:r>
    </w:p>
    <w:p>
      <w:pPr>
        <w:pStyle w:val="Heading1"/>
      </w:pPr>
      <w:r>
        <w:t>5. Privacy, GDPR e provider LLM</w:t>
      </w:r>
    </w:p>
    <w:p>
      <w:pPr>
        <w:pStyle w:val="ListBullet"/>
      </w:pPr>
      <w:r>
        <w:rPr>
          <w:b/>
        </w:rPr>
        <w:t xml:space="preserve">Dati a riposo: </w:t>
      </w:r>
      <w:r>
        <w:t>documenti, indici vettoriali e grafo risiedono esclusivamente sui server dell'ambiente (Italia/UE).</w:t>
      </w:r>
    </w:p>
    <w:p>
      <w:pPr>
        <w:pStyle w:val="ListBullet"/>
      </w:pPr>
      <w:r>
        <w:rPr>
          <w:b/>
        </w:rPr>
        <w:t xml:space="preserve">Dati in transito verso l'esterno: </w:t>
      </w:r>
      <w:r>
        <w:t>solo il contesto della singola conversazione raggiunge il provider LLM (Anthropic), nell'ambito di un Data Processing Agreement; embedding e ricerca non escono mai dal perimetro.</w:t>
      </w:r>
    </w:p>
    <w:p>
      <w:pPr>
        <w:pStyle w:val="ListBullet"/>
      </w:pPr>
      <w:r>
        <w:rPr>
          <w:b/>
        </w:rPr>
        <w:t xml:space="preserve">Minimizzazione: </w:t>
      </w:r>
      <w:r>
        <w:t>cap di contesto configurabili limitano quanto testo viene inviato per ogni domanda.</w:t>
      </w:r>
    </w:p>
    <w:p>
      <w:pPr>
        <w:pStyle w:val="ListBullet"/>
      </w:pPr>
      <w:r>
        <w:rPr>
          <w:b/>
        </w:rPr>
        <w:t xml:space="preserve">Opzione sovranità totale: </w:t>
      </w:r>
      <w:r>
        <w:t>l'architettura multi-provider consente di sostituire l'API cloud con un modello open-source on-premise (Ollama/vLLM su VM GPU) senza modifiche al codice, qualora il cliente lo richieda.</w:t>
      </w:r>
    </w:p>
    <w:p>
      <w:pPr>
        <w:pStyle w:val="Heading1"/>
      </w:pPr>
      <w:r>
        <w:t>6. Costi di esercizio</w:t>
      </w:r>
    </w:p>
    <w:p>
      <w:pPr>
        <w:pStyle w:val="Heading2"/>
      </w:pPr>
      <w:r>
        <w:t>6.1 Il costo variabile: le risposte dell'assistente</w:t>
      </w:r>
    </w:p>
    <w:p>
      <w:r>
        <w:rPr>
          <w:b w:val="0"/>
          <w:i w:val="0"/>
        </w:rPr>
        <w:t>Circa il 90% del costo variabile nasce dalle risposte del modello linguistico. Tutto il resto — embedding, ricerca, grafo, generazione di grafici e report — è calcolato localmente, a costo zero. Il routing automatico sceglie il modello più economico adeguato alla domanda: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2102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sto_doman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10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In produzione, con un uso stimato di 2.000 domande al mese, la spesa API attesa è di ~40 €/mese (intervallo prudenziale 20–100 €/mese a seconda dell'intensità d'uso delle funzioni agentiche). Il guardrail di budget giornaliero garantisce comunque un tetto massimo certo.</w:t>
      </w:r>
    </w:p>
    <w:p>
      <w:pPr>
        <w:pStyle w:val="Heading2"/>
      </w:pPr>
      <w:r>
        <w:t>6.2 API cloud o modello on-premise?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3856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cenari_ll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85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L'API cloud offre il miglior rapporto qualità/costo. L'alternativa on-premise si giustifica solo per requisiti di sovranità del dato e richiede una GPU dedicata per qualità paragonabile.</w:t>
      </w:r>
    </w:p>
    <w:p>
      <w:pPr>
        <w:pStyle w:val="Heading2"/>
      </w:pPr>
      <w:r>
        <w:t>6.3 Costo totale mensile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9069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c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0699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969"/>
            <w:shd w:val="clear" w:fill="B0173A"/>
          </w:tcPr>
          <w:p>
            <w:r>
              <w:rPr>
                <w:b/>
                <w:color w:val="FFFFFF"/>
                <w:sz w:val="20"/>
              </w:rPr>
              <w:t>Voce</w:t>
            </w:r>
          </w:p>
        </w:tc>
        <w:tc>
          <w:tcPr>
            <w:tcW w:type="dxa" w:w="2721"/>
            <w:shd w:val="clear" w:fill="B0173A"/>
          </w:tcPr>
          <w:p>
            <w:r>
              <w:rPr>
                <w:b/>
                <w:color w:val="FFFFFF"/>
                <w:sz w:val="20"/>
              </w:rPr>
              <w:t>Aruba Cloud (Italia)</w:t>
            </w:r>
          </w:p>
        </w:tc>
        <w:tc>
          <w:tcPr>
            <w:tcW w:type="dxa" w:w="2721"/>
            <w:shd w:val="clear" w:fill="B0173A"/>
          </w:tcPr>
          <w:p>
            <w:r>
              <w:rPr>
                <w:b/>
                <w:color w:val="FFFFFF"/>
                <w:sz w:val="20"/>
              </w:rPr>
              <w:t>Hetzner (UE)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Infrastruttura Stage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~40 €/mese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~10 €/mese</w:t>
            </w:r>
          </w:p>
        </w:tc>
      </w:tr>
      <w:tr>
        <w:tc>
          <w:tcPr>
            <w:tcW w:type="dxa" w:w="3969"/>
            <w:shd w:val="clear" w:fill="F5F3F0"/>
          </w:tcPr>
          <w:p>
            <w:r>
              <w:rPr>
                <w:sz w:val="19"/>
              </w:rPr>
              <w:t>Infrastruttura Produzione</w:t>
            </w:r>
          </w:p>
        </w:tc>
        <w:tc>
          <w:tcPr>
            <w:tcW w:type="dxa" w:w="2721"/>
            <w:shd w:val="clear" w:fill="F5F3F0"/>
          </w:tcPr>
          <w:p>
            <w:r>
              <w:rPr>
                <w:sz w:val="19"/>
              </w:rPr>
              <w:t>~115 €/mese</w:t>
            </w:r>
          </w:p>
        </w:tc>
        <w:tc>
          <w:tcPr>
            <w:tcW w:type="dxa" w:w="2721"/>
            <w:shd w:val="clear" w:fill="F5F3F0"/>
          </w:tcPr>
          <w:p>
            <w:r>
              <w:rPr>
                <w:sz w:val="19"/>
              </w:rPr>
              <w:t>~26 €/mese</w:t>
            </w:r>
          </w:p>
        </w:tc>
      </w:tr>
      <w:tr>
        <w:tc>
          <w:tcPr>
            <w:tcW w:type="dxa" w:w="3969"/>
          </w:tcPr>
          <w:p>
            <w:r>
              <w:rPr>
                <w:sz w:val="19"/>
              </w:rPr>
              <w:t>API LLM (stima 2.000 domande/mese)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~40 €/mese</w:t>
            </w:r>
          </w:p>
        </w:tc>
        <w:tc>
          <w:tcPr>
            <w:tcW w:type="dxa" w:w="2721"/>
          </w:tcPr>
          <w:p>
            <w:r>
              <w:rPr>
                <w:sz w:val="19"/>
              </w:rPr>
              <w:t>~40 €/mese</w:t>
            </w:r>
          </w:p>
        </w:tc>
      </w:tr>
      <w:tr>
        <w:tc>
          <w:tcPr>
            <w:tcW w:type="dxa" w:w="3969"/>
            <w:shd w:val="clear" w:fill="F5F3F0"/>
          </w:tcPr>
          <w:p>
            <w:r>
              <w:rPr>
                <w:sz w:val="19"/>
              </w:rPr>
              <w:t>Totale indicativo</w:t>
            </w:r>
          </w:p>
        </w:tc>
        <w:tc>
          <w:tcPr>
            <w:tcW w:type="dxa" w:w="2721"/>
            <w:shd w:val="clear" w:fill="F5F3F0"/>
          </w:tcPr>
          <w:p>
            <w:r>
              <w:rPr>
                <w:sz w:val="19"/>
              </w:rPr>
              <w:t>~195 €/mese</w:t>
            </w:r>
          </w:p>
        </w:tc>
        <w:tc>
          <w:tcPr>
            <w:tcW w:type="dxa" w:w="2721"/>
            <w:shd w:val="clear" w:fill="F5F3F0"/>
          </w:tcPr>
          <w:p>
            <w:r>
              <w:rPr>
                <w:sz w:val="19"/>
              </w:rPr>
              <w:t>~76 €/mese</w:t>
            </w:r>
          </w:p>
        </w:tc>
      </w:tr>
    </w:tbl>
    <w:p>
      <w:pPr>
        <w:spacing w:after="40"/>
      </w:pPr>
    </w:p>
    <w:p>
      <w:r>
        <w:rPr>
          <w:b w:val="0"/>
          <w:i/>
          <w:color w:val="58595B"/>
          <w:sz w:val="17"/>
        </w:rPr>
        <w:t>Prezzi indicativi (listini luglio 2026, IVA esclusa); una tantum: setup ambienti incluso nel piano di lavoro.</w:t>
      </w:r>
    </w:p>
    <w:p>
      <w:pPr>
        <w:pStyle w:val="Heading1"/>
      </w:pPr>
      <w:r>
        <w:t>7. Piano di lavoro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9505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gant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50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Fase 1 — Porting backend (2–4 gg): </w:t>
      </w:r>
      <w:r>
        <w:t>integrazione del modulo AI nel backend AIA, adattamento del modello dati per stabilimento, eventi di indicizzazione automatica.</w:t>
      </w:r>
    </w:p>
    <w:p>
      <w:pPr>
        <w:pStyle w:val="ListBullet"/>
      </w:pPr>
      <w:r>
        <w:rPr>
          <w:b/>
        </w:rPr>
        <w:t xml:space="preserve">Fase 2 — Setup ambienti (1–2 gg): </w:t>
      </w:r>
      <w:r>
        <w:t>provisioning VM Stage e Produzione, rete privata, TLS, backup, monitoraggio, pipeline CI/CD.</w:t>
      </w:r>
    </w:p>
    <w:p>
      <w:pPr>
        <w:pStyle w:val="ListBullet"/>
      </w:pPr>
      <w:r>
        <w:rPr>
          <w:b/>
        </w:rPr>
        <w:t xml:space="preserve">Fase 3 — Frontend (1–2 gg): </w:t>
      </w:r>
      <w:r>
        <w:t>sezione “Assistente AI” (chat, wiki, selettore stabilimento) nel frontend Angular.</w:t>
      </w:r>
    </w:p>
    <w:p>
      <w:pPr>
        <w:pStyle w:val="ListBullet"/>
      </w:pPr>
      <w:r>
        <w:rPr>
          <w:b/>
        </w:rPr>
        <w:t xml:space="preserve">Fase 4 — Verifica end-to-end (2 gg): </w:t>
      </w:r>
      <w:r>
        <w:t>collaudo su Stage: ingestione, risposte con fonti, funzioni agentiche, budget e sicurezza.</w:t>
      </w:r>
    </w:p>
    <w:p>
      <w:pPr>
        <w:pStyle w:val="ListBullet"/>
      </w:pPr>
      <w:r>
        <w:rPr>
          <w:b/>
        </w:rPr>
        <w:t xml:space="preserve">Go-live (2 gg): </w:t>
      </w:r>
      <w:r>
        <w:t>promozione in Produzione, indicizzazione iniziale, affiancamento utenti.</w:t>
      </w:r>
    </w:p>
    <w:p>
      <w:pPr>
        <w:pStyle w:val="Heading1"/>
      </w:pPr>
      <w:r>
        <w:t>8. Rischi principali e mitigazioni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309"/>
            <w:shd w:val="clear" w:fill="B0173A"/>
          </w:tcPr>
          <w:p>
            <w:r>
              <w:rPr>
                <w:b/>
                <w:color w:val="FFFFFF"/>
                <w:sz w:val="20"/>
              </w:rPr>
              <w:t>Rischio</w:t>
            </w:r>
          </w:p>
        </w:tc>
        <w:tc>
          <w:tcPr>
            <w:tcW w:type="dxa" w:w="5102"/>
            <w:shd w:val="clear" w:fill="B0173A"/>
          </w:tcPr>
          <w:p>
            <w:r>
              <w:rPr>
                <w:b/>
                <w:color w:val="FFFFFF"/>
                <w:sz w:val="20"/>
              </w:rPr>
              <w:t>Mitigazione</w:t>
            </w:r>
          </w:p>
        </w:tc>
      </w:tr>
      <w:tr>
        <w:tc>
          <w:tcPr>
            <w:tcW w:type="dxa" w:w="4309"/>
          </w:tcPr>
          <w:p>
            <w:r>
              <w:rPr>
                <w:sz w:val="19"/>
              </w:rPr>
              <w:t>Qualità delle risposte su documenti scansionati di bassa qualità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pipeline OCR locale in ingestione; verifica campione in fase di collaudo</w:t>
            </w:r>
          </w:p>
        </w:tc>
      </w:tr>
      <w:tr>
        <w:tc>
          <w:tcPr>
            <w:tcW w:type="dxa" w:w="4309"/>
            <w:shd w:val="clear" w:fill="F5F3F0"/>
          </w:tcPr>
          <w:p>
            <w:r>
              <w:rPr>
                <w:sz w:val="19"/>
              </w:rPr>
              <w:t>Crescita imprevista dei costi API</w:t>
            </w:r>
          </w:p>
        </w:tc>
        <w:tc>
          <w:tcPr>
            <w:tcW w:type="dxa" w:w="5102"/>
            <w:shd w:val="clear" w:fill="F5F3F0"/>
          </w:tcPr>
          <w:p>
            <w:r>
              <w:rPr>
                <w:sz w:val="19"/>
              </w:rPr>
              <w:t>budget token giornaliero con blocco automatico (HTTP 429) e monitoraggio consumi per giorno</w:t>
            </w:r>
          </w:p>
        </w:tc>
      </w:tr>
      <w:tr>
        <w:tc>
          <w:tcPr>
            <w:tcW w:type="dxa" w:w="4309"/>
          </w:tcPr>
          <w:p>
            <w:r>
              <w:rPr>
                <w:sz w:val="19"/>
              </w:rPr>
              <w:t>Requisiti privacy più stringenti del previsto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architettura multi-provider: passaggio a LLM on-premise via configurazione, senza modifiche al codice</w:t>
            </w:r>
          </w:p>
        </w:tc>
      </w:tr>
      <w:tr>
        <w:tc>
          <w:tcPr>
            <w:tcW w:type="dxa" w:w="4309"/>
            <w:shd w:val="clear" w:fill="F5F3F0"/>
          </w:tcPr>
          <w:p>
            <w:r>
              <w:rPr>
                <w:sz w:val="19"/>
              </w:rPr>
              <w:t>Picchi di carico in ingestione massiva</w:t>
            </w:r>
          </w:p>
        </w:tc>
        <w:tc>
          <w:tcPr>
            <w:tcW w:type="dxa" w:w="5102"/>
            <w:shd w:val="clear" w:fill="F5F3F0"/>
          </w:tcPr>
          <w:p>
            <w:r>
              <w:rPr>
                <w:sz w:val="19"/>
              </w:rPr>
              <w:t>indicizzazione asincrona con coda; dimensionamento VM con margine e limiti di memoria per container</w:t>
            </w:r>
          </w:p>
        </w:tc>
      </w:tr>
      <w:tr>
        <w:tc>
          <w:tcPr>
            <w:tcW w:type="dxa" w:w="4309"/>
          </w:tcPr>
          <w:p>
            <w:r>
              <w:rPr>
                <w:sz w:val="19"/>
              </w:rPr>
              <w:t>Indisponibilità del provider LLM</w:t>
            </w:r>
          </w:p>
        </w:tc>
        <w:tc>
          <w:tcPr>
            <w:tcW w:type="dxa" w:w="5102"/>
          </w:tcPr>
          <w:p>
            <w:r>
              <w:rPr>
                <w:sz w:val="19"/>
              </w:rPr>
              <w:t>il resto del sistema resta pienamente operativo; la sola chat AI risulta temporaneamente non disponibile</w:t>
            </w:r>
          </w:p>
        </w:tc>
      </w:tr>
    </w:tbl>
    <w:p>
      <w:pPr>
        <w:spacing w:after="40"/>
      </w:pPr>
    </w:p>
    <w:p/>
    <w:p>
      <w:pPr>
        <w:spacing w:after="120"/>
        <w:pBdr>
          <w:bottom w:val="single" w:sz="10" w:space="4" w:color="B0173A"/>
        </w:pBdr>
      </w:pPr>
      <w:r>
        <w:rPr>
          <w:b w:val="0"/>
          <w:i w:val="0"/>
        </w:rPr>
      </w:r>
    </w:p>
    <w:p>
      <w:r>
        <w:rPr>
          <w:b/>
          <w:i w:val="0"/>
          <w:color w:val="58595B"/>
          <w:sz w:val="20"/>
        </w:rPr>
        <w:t>Fincons Group — Direzione Tecnica</w:t>
      </w:r>
    </w:p>
    <w:p>
      <w:r>
        <w:rPr>
          <w:b w:val="0"/>
          <w:i/>
          <w:color w:val="58595B"/>
          <w:sz w:val="17"/>
        </w:rPr>
        <w:t>Documento riservato. Le stime economiche sono indicative e soggette a conferma in sede di offerta.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595B"/>
        <w:sz w:val="16"/>
      </w:rPr>
      <w:t xml:space="preserve">Pag. </w:t>
    </w:r>
    <w:fldSimple w:instr="PAGE">
      <w:r>
        <w:rPr>
          <w:sz w:val="16"/>
          <w:color w:val="58595B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B0173A"/>
      </w:pBdr>
    </w:pPr>
    <w:r>
      <w:rPr>
        <w:color w:val="58595B"/>
        <w:sz w:val="16"/>
      </w:rPr>
      <w:t>Fincons Group  ·  AIA Management System — Modulo AI Wiki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B017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5859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B2B2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