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400"/>
              <w:left w:type="dxa" w:w="400"/>
              <w:bottom w:type="dxa" w:w="200"/>
              <w:right w:type="dxa" w:w="400"/>
            </w:tcMar>
          </w:tcPr>
          <w:p>
            <w:pPr>
              <w:spacing w:before="0" w:after="120"/>
              <w:jc w:val="center"/>
            </w:pPr>
            <w:r>
              <w:rPr>
                <w:rFonts w:ascii="Arial" w:cs="Arial" w:eastAsia="Arial" w:hAnsi="Arial"/>
                <w:b/>
                <w:bCs/>
                <w:color w:val="FFFFFF"/>
                <w:sz w:val="52"/>
                <w:szCs w:val="52"/>
              </w:rPr>
              <w:t xml:space="preserve">AIA Management System</w:t>
            </w:r>
          </w:p>
          <w:p>
            <w:pPr>
              <w:spacing w:before="0" w:after="0"/>
              <w:jc w:val="center"/>
            </w:pPr>
            <w:r>
              <w:rPr>
                <w:rFonts w:ascii="Arial" w:cs="Arial" w:eastAsia="Arial" w:hAnsi="Arial"/>
                <w:color w:val="BDD7EE"/>
                <w:sz w:val="26"/>
                <w:szCs w:val="26"/>
              </w:rPr>
              <w:t xml:space="preserve">Integrazione DMS + BPMN — Documento Tecnico Implementativo</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60"/>
        <w:gridCol w:w="6766"/>
      </w:tblGrid>
      <w:tr>
        <w:tc>
          <w:tcPr>
            <w:tcW w:type="dxa" w:w="2260"/>
            <w:tcBorders>
              <w:top w:val="none"/>
              <w:left w:val="none"/>
              <w:bottom w:val="none"/>
              <w:right w:val="none"/>
            </w:tcBorders>
          </w:tcPr>
          <w:p>
            <w:r>
              <w:rPr>
                <w:rFonts w:ascii="Arial" w:cs="Arial" w:eastAsia="Arial" w:hAnsi="Arial"/>
                <w:b/>
                <w:bCs/>
                <w:color w:val="2E75B6"/>
                <w:sz w:val="20"/>
                <w:szCs w:val="20"/>
              </w:rPr>
              <w:t xml:space="preserve">Versione</w:t>
            </w:r>
          </w:p>
        </w:tc>
        <w:tc>
          <w:tcPr>
            <w:tcW w:type="dxa" w:w="6766"/>
            <w:tcBorders>
              <w:top w:val="none"/>
              <w:left w:val="none"/>
              <w:bottom w:val="none"/>
              <w:right w:val="none"/>
            </w:tcBorders>
          </w:tcPr>
          <w:p>
            <w:r>
              <w:rPr>
                <w:rFonts w:ascii="Arial" w:cs="Arial" w:eastAsia="Arial" w:hAnsi="Arial"/>
                <w:sz w:val="20"/>
                <w:szCs w:val="20"/>
              </w:rPr>
              <w:t xml:space="preserve">1.0 — Febbraio 2026</w:t>
            </w:r>
          </w:p>
        </w:tc>
      </w:tr>
      <w:tr>
        <w:tc>
          <w:tcPr>
            <w:tcW w:type="dxa" w:w="2260"/>
            <w:tcBorders>
              <w:top w:val="none"/>
              <w:left w:val="none"/>
              <w:bottom w:val="none"/>
              <w:right w:val="none"/>
            </w:tcBorders>
          </w:tcPr>
          <w:p>
            <w:r>
              <w:rPr>
                <w:rFonts w:ascii="Arial" w:cs="Arial" w:eastAsia="Arial" w:hAnsi="Arial"/>
                <w:b/>
                <w:bCs/>
                <w:color w:val="2E75B6"/>
                <w:sz w:val="20"/>
                <w:szCs w:val="20"/>
              </w:rPr>
              <w:t xml:space="preserve">Progetto</w:t>
            </w:r>
          </w:p>
        </w:tc>
        <w:tc>
          <w:tcPr>
            <w:tcW w:type="dxa" w:w="6766"/>
            <w:tcBorders>
              <w:top w:val="none"/>
              <w:left w:val="none"/>
              <w:bottom w:val="none"/>
              <w:right w:val="none"/>
            </w:tcBorders>
          </w:tcPr>
          <w:p>
            <w:r>
              <w:rPr>
                <w:rFonts w:ascii="Arial" w:cs="Arial" w:eastAsia="Arial" w:hAnsi="Arial"/>
                <w:sz w:val="20"/>
                <w:szCs w:val="20"/>
              </w:rPr>
              <w:t xml:space="preserve">Grandi Molini Italiani — Gestione AIA</w:t>
            </w:r>
          </w:p>
        </w:tc>
      </w:tr>
      <w:tr>
        <w:tc>
          <w:tcPr>
            <w:tcW w:type="dxa" w:w="2260"/>
            <w:tcBorders>
              <w:top w:val="none"/>
              <w:left w:val="none"/>
              <w:bottom w:val="none"/>
              <w:right w:val="none"/>
            </w:tcBorders>
          </w:tcPr>
          <w:p>
            <w:r>
              <w:rPr>
                <w:rFonts w:ascii="Arial" w:cs="Arial" w:eastAsia="Arial" w:hAnsi="Arial"/>
                <w:b/>
                <w:bCs/>
                <w:color w:val="2E75B6"/>
                <w:sz w:val="20"/>
                <w:szCs w:val="20"/>
              </w:rPr>
              <w:t xml:space="preserve">Stato</w:t>
            </w:r>
          </w:p>
        </w:tc>
        <w:tc>
          <w:tcPr>
            <w:tcW w:type="dxa" w:w="6766"/>
            <w:tcBorders>
              <w:top w:val="none"/>
              <w:left w:val="none"/>
              <w:bottom w:val="none"/>
              <w:right w:val="none"/>
            </w:tcBorders>
          </w:tcPr>
          <w:p>
            <w:r>
              <w:rPr>
                <w:rFonts w:ascii="Arial" w:cs="Arial" w:eastAsia="Arial" w:hAnsi="Arial"/>
                <w:sz w:val="20"/>
                <w:szCs w:val="20"/>
              </w:rPr>
              <w:t xml:space="preserve">Proposta tecnica per approvazione</w:t>
            </w:r>
          </w:p>
        </w:tc>
      </w:tr>
    </w:tbl>
    <w:p>
      <w:pPr>
        <w:spacing w:before="0" w:after="80"/>
      </w:pPr>
      <w:r>
        <w:t xml:space="preserve"/>
      </w:r>
    </w:p>
    <w:p>
      <w:pPr>
        <w:pBdr>
          <w:bottom w:val="single" w:color="2E75B6" w:sz="4"/>
        </w:pBdr>
        <w:spacing w:before="100" w:after="100"/>
      </w:pPr>
      <w:r>
        <w:t xml:space="preserve"/>
      </w:r>
    </w:p>
    <w:p>
      <w:r>
        <w:br w:type="page"/>
      </w:r>
    </w:p>
    <w:p>
      <w:pPr>
        <w:pStyle w:val="Heading1"/>
        <w:spacing w:before="300" w:after="120"/>
      </w:pPr>
      <w:r>
        <w:rPr>
          <w:rFonts w:ascii="Arial" w:cs="Arial" w:eastAsia="Arial" w:hAnsi="Arial"/>
          <w:b/>
          <w:bCs/>
          <w:color w:val="1F3864"/>
          <w:sz w:val="36"/>
          <w:szCs w:val="36"/>
        </w:rPr>
        <w:t xml:space="preserve">Indice</w:t>
      </w:r>
    </w:p>
    <w:sdt>
      <w:sdtPr>
        <w:alias w:val="Indice dei contenuti"/>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20"/>
      </w:pPr>
      <w:r>
        <w:rPr>
          <w:rFonts w:ascii="Arial" w:cs="Arial" w:eastAsia="Arial" w:hAnsi="Arial"/>
          <w:b/>
          <w:bCs/>
          <w:color w:val="1F3864"/>
          <w:sz w:val="36"/>
          <w:szCs w:val="36"/>
        </w:rPr>
        <w:t xml:space="preserve">1. Executive Summary</w:t>
      </w:r>
    </w:p>
    <w:p>
      <w:pPr>
        <w:spacing w:before="60" w:after="100"/>
        <w:jc w:val="both"/>
      </w:pPr>
      <w:r>
        <w:rPr>
          <w:rFonts w:ascii="Arial" w:cs="Arial" w:eastAsia="Arial" w:hAnsi="Arial"/>
          <w:b w:val="false"/>
          <w:bCs w:val="false"/>
          <w:i w:val="false"/>
          <w:iCs w:val="false"/>
          <w:color w:val="000000"/>
          <w:sz w:val="22"/>
          <w:szCs w:val="22"/>
        </w:rPr>
        <w:t xml:space="preserve">Il sistema AIA Management attuale gestisce prescrizioni, scadenze e dati ambientali in modo efficace, ma due processi critici rimangono non coperti: la gestione documentale strutturata dei documenti in ingresso (comunicazioni da enti, provvedimenti AIA, richieste di integrazione) e l’automazione dei workflow autorizzativi che da questi documenti scaturiscono.</w:t>
      </w:r>
    </w:p>
    <w:p>
      <w:pPr>
        <w:spacing w:before="0" w:after="80"/>
      </w:pPr>
      <w:r>
        <w:t xml:space="preserve"/>
      </w:r>
    </w:p>
    <w:p>
      <w:pPr>
        <w:spacing w:before="60" w:after="100"/>
        <w:jc w:val="both"/>
      </w:pPr>
      <w:r>
        <w:rPr>
          <w:rFonts w:ascii="Arial" w:cs="Arial" w:eastAsia="Arial" w:hAnsi="Arial"/>
          <w:b w:val="false"/>
          <w:bCs w:val="false"/>
          <w:i w:val="false"/>
          <w:iCs w:val="false"/>
          <w:color w:val="000000"/>
          <w:sz w:val="22"/>
          <w:szCs w:val="22"/>
        </w:rPr>
        <w:t xml:space="preserve">Questo documento propone l’integrazione di due componenti open source nel progetto esistente: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Componente</w:t>
            </w:r>
          </w:p>
        </w:tc>
        <w:tc>
          <w:tcPr>
            <w:tcW w:type="dxa" w:w="55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Scopo</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Alfresco Community Edition (DMS)</w:t>
            </w:r>
          </w:p>
        </w:tc>
        <w:tc>
          <w:tcPr>
            <w:tcW w:type="dxa" w:w="5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Archivio documentale strutturato con OCR, metadati, versioning e ricerca full-text</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Camunda 7 Community + bpmn-js</w:t>
            </w:r>
          </w:p>
        </w:tc>
        <w:tc>
          <w:tcPr>
            <w:tcW w:type="dxa" w:w="5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Engine BPMN per workflow autorizzativi, embedded nel frontend Angular</w:t>
            </w:r>
          </w:p>
        </w:tc>
      </w:tr>
    </w:tbl>
    <w:p>
      <w:pPr>
        <w:spacing w:before="0" w:after="80"/>
      </w:pPr>
      <w:r>
        <w:t xml:space="preserve"/>
      </w:r>
    </w:p>
    <w:p>
      <w:pPr>
        <w:spacing w:before="60" w:after="100"/>
        <w:jc w:val="both"/>
      </w:pPr>
      <w:r>
        <w:rPr>
          <w:rFonts w:ascii="Arial" w:cs="Arial" w:eastAsia="Arial" w:hAnsi="Arial"/>
          <w:b w:val="false"/>
          <w:bCs w:val="false"/>
          <w:i w:val="false"/>
          <w:iCs w:val="false"/>
          <w:color w:val="000000"/>
          <w:sz w:val="22"/>
          <w:szCs w:val="22"/>
        </w:rPr>
        <w:t xml:space="preserve">La soluzione è tecnicamente fattibile, si integra con lo stack esistente (Spring Boot + Angular + PostgreSQL) e può essere implementata in fasi incrementali senza interrompere il sistema in produzione.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b/>
                <w:bCs/>
                <w:sz w:val="22"/>
                <w:szCs w:val="22"/>
              </w:rPr>
              <w:t xml:space="preserve">✅  Fattibilità complessiva: ALTA</w:t>
            </w:r>
          </w:p>
          <w:p>
            <w:pPr>
              <w:spacing w:before="60"/>
            </w:pPr>
            <w:r>
              <w:rPr>
                <w:rFonts w:ascii="Arial" w:cs="Arial" w:eastAsia="Arial" w:hAnsi="Arial"/>
                <w:sz w:val="20"/>
                <w:szCs w:val="20"/>
              </w:rPr>
              <w:t xml:space="preserve">Tutti i componenti proposti hanno API REST mature, buona documentazione e comunity attive. L’integrazione con lo stack Java/Angular esistente è diretta e testata in numerosi progetti enterprise.</w:t>
            </w:r>
          </w:p>
        </w:tc>
      </w:tr>
    </w:tbl>
    <w:p>
      <w:pPr>
        <w:spacing w:before="0" w:after="160"/>
      </w:pPr>
      <w:r>
        <w:t xml:space="preserve"/>
      </w:r>
    </w:p>
    <w:p>
      <w:pPr>
        <w:pStyle w:val="Heading1"/>
        <w:spacing w:before="300" w:after="120"/>
      </w:pPr>
      <w:r>
        <w:rPr>
          <w:rFonts w:ascii="Arial" w:cs="Arial" w:eastAsia="Arial" w:hAnsi="Arial"/>
          <w:b/>
          <w:bCs/>
          <w:color w:val="1F3864"/>
          <w:sz w:val="36"/>
          <w:szCs w:val="36"/>
        </w:rPr>
        <w:t xml:space="preserve">2. Analisi del Problema</w:t>
      </w:r>
    </w:p>
    <w:p>
      <w:pPr>
        <w:pStyle w:val="Heading2"/>
        <w:spacing w:before="300" w:after="120"/>
      </w:pPr>
      <w:r>
        <w:rPr>
          <w:rFonts w:ascii="Arial" w:cs="Arial" w:eastAsia="Arial" w:hAnsi="Arial"/>
          <w:b/>
          <w:bCs/>
          <w:color w:val="1F3864"/>
          <w:sz w:val="28"/>
          <w:szCs w:val="28"/>
        </w:rPr>
        <w:t xml:space="preserve">2.1 Il flusso documentale attuale</w:t>
      </w:r>
    </w:p>
    <w:p>
      <w:pPr>
        <w:spacing w:before="60" w:after="100"/>
        <w:jc w:val="both"/>
      </w:pPr>
      <w:r>
        <w:rPr>
          <w:rFonts w:ascii="Arial" w:cs="Arial" w:eastAsia="Arial" w:hAnsi="Arial"/>
          <w:b w:val="false"/>
          <w:bCs w:val="false"/>
          <w:i w:val="false"/>
          <w:iCs w:val="false"/>
          <w:color w:val="000000"/>
          <w:sz w:val="22"/>
          <w:szCs w:val="22"/>
        </w:rPr>
        <w:t xml:space="preserve">Attualmente un documento che arriva — che sia una lettera fisica scansionata, una PEC da ARPA o un provvedimento della Regione — viene caricato nel modulo Documenti come semplice allegato. Le informazioni operative che contiene (nuove scadenze, prescrizioni modificate, richieste di integrazione) vengono poi inserite manualmente dagli operatori nelle rispettive sezioni del sistema.</w:t>
      </w:r>
    </w:p>
    <w:p>
      <w:pPr>
        <w:spacing w:before="0" w:after="80"/>
      </w:pPr>
      <w:r>
        <w:t xml:space="preserve"/>
      </w:r>
    </w:p>
    <w:p>
      <w:pPr>
        <w:spacing w:before="60" w:after="100"/>
        <w:jc w:val="both"/>
      </w:pPr>
      <w:r>
        <w:rPr>
          <w:rFonts w:ascii="Arial" w:cs="Arial" w:eastAsia="Arial" w:hAnsi="Arial"/>
          <w:b w:val="false"/>
          <w:bCs w:val="false"/>
          <w:i w:val="false"/>
          <w:iCs w:val="false"/>
          <w:color w:val="000000"/>
          <w:sz w:val="22"/>
          <w:szCs w:val="22"/>
        </w:rPr>
        <w:t xml:space="preserve">Questo genera tre problemi concreti:</w:t>
      </w:r>
    </w:p>
    <w:p>
      <w:pPr>
        <w:pStyle w:val="ListParagraph"/>
        <w:numPr>
          <w:ilvl w:val="0"/>
          <w:numId w:val="2"/>
        </w:numPr>
        <w:spacing w:before="40" w:after="40"/>
      </w:pPr>
      <w:r>
        <w:rPr>
          <w:rFonts w:ascii="Arial" w:cs="Arial" w:eastAsia="Arial" w:hAnsi="Arial"/>
          <w:b w:val="false"/>
          <w:bCs w:val="false"/>
          <w:color w:val="000000"/>
          <w:sz w:val="22"/>
          <w:szCs w:val="22"/>
        </w:rPr>
        <w:t xml:space="preserve">Rischio di perdita di informazioni: se l’operatore non legge attentamente il documento, scadenze critiche possono essere dimenticate</w:t>
      </w:r>
    </w:p>
    <w:p>
      <w:pPr>
        <w:pStyle w:val="ListParagraph"/>
        <w:numPr>
          <w:ilvl w:val="0"/>
          <w:numId w:val="2"/>
        </w:numPr>
        <w:spacing w:before="40" w:after="40"/>
      </w:pPr>
      <w:r>
        <w:rPr>
          <w:rFonts w:ascii="Arial" w:cs="Arial" w:eastAsia="Arial" w:hAnsi="Arial"/>
          <w:b w:val="false"/>
          <w:bCs w:val="false"/>
          <w:color w:val="000000"/>
          <w:sz w:val="22"/>
          <w:szCs w:val="22"/>
        </w:rPr>
        <w:t xml:space="preserve">Duplicazione del lavoro: le stesse informazioni vengono lette dal documento e poi ridigitate nel sistema</w:t>
      </w:r>
    </w:p>
    <w:p>
      <w:pPr>
        <w:pStyle w:val="ListParagraph"/>
        <w:numPr>
          <w:ilvl w:val="0"/>
          <w:numId w:val="2"/>
        </w:numPr>
        <w:spacing w:before="40" w:after="40"/>
      </w:pPr>
      <w:r>
        <w:rPr>
          <w:rFonts w:ascii="Arial" w:cs="Arial" w:eastAsia="Arial" w:hAnsi="Arial"/>
          <w:b w:val="false"/>
          <w:bCs w:val="false"/>
          <w:color w:val="000000"/>
          <w:sz w:val="22"/>
          <w:szCs w:val="22"/>
        </w:rPr>
        <w:t xml:space="preserve">Nessuna tracciabilità del processo: non è possibile sapere chi ha preso in carico un documento, in che stato è la lavorazione, se è stato approvato</w:t>
      </w:r>
    </w:p>
    <w:p>
      <w:pPr>
        <w:spacing w:before="0" w:after="80"/>
      </w:pPr>
      <w:r>
        <w:t xml:space="preserve"/>
      </w:r>
    </w:p>
    <w:p>
      <w:pPr>
        <w:pStyle w:val="Heading2"/>
        <w:spacing w:before="300" w:after="120"/>
      </w:pPr>
      <w:r>
        <w:rPr>
          <w:rFonts w:ascii="Arial" w:cs="Arial" w:eastAsia="Arial" w:hAnsi="Arial"/>
          <w:b/>
          <w:bCs/>
          <w:color w:val="1F3864"/>
          <w:sz w:val="28"/>
          <w:szCs w:val="28"/>
        </w:rPr>
        <w:t xml:space="preserve">2.2 Il flusso documentale target</w:t>
      </w:r>
    </w:p>
    <w:p>
      <w:pPr>
        <w:spacing w:before="60" w:after="100"/>
        <w:jc w:val="both"/>
      </w:pPr>
      <w:r>
        <w:rPr>
          <w:rFonts w:ascii="Arial" w:cs="Arial" w:eastAsia="Arial" w:hAnsi="Arial"/>
          <w:b w:val="false"/>
          <w:bCs w:val="false"/>
          <w:i w:val="false"/>
          <w:iCs w:val="false"/>
          <w:color w:val="000000"/>
          <w:sz w:val="22"/>
          <w:szCs w:val="22"/>
        </w:rPr>
        <w:t xml:space="preserve">Il flusso ottimale che si vuole realizzare è il seguente:</w:t>
      </w:r>
    </w:p>
    <w:p>
      <w:pPr>
        <w:spacing w:before="0" w:after="80"/>
      </w:pPr>
      <w:r>
        <w:t xml:space="preserve"/>
      </w:r>
    </w:p>
    <w:p>
      <w:pPr>
        <w:pStyle w:val="ListParagraph"/>
        <w:numPr>
          <w:ilvl w:val="0"/>
          <w:numId w:val="3"/>
        </w:numPr>
        <w:spacing w:before="40" w:after="40"/>
      </w:pPr>
      <w:r>
        <w:rPr>
          <w:rFonts w:ascii="Arial" w:cs="Arial" w:eastAsia="Arial" w:hAnsi="Arial"/>
          <w:sz w:val="22"/>
          <w:szCs w:val="22"/>
        </w:rPr>
        <w:t xml:space="preserve">Il documento arriva (upload manuale, scansione, email) e viene salvato in Alfresco con metadati strutturati (tipo, stabilimento, ente emittente, data)</w:t>
      </w:r>
    </w:p>
    <w:p>
      <w:pPr>
        <w:pStyle w:val="ListParagraph"/>
        <w:numPr>
          <w:ilvl w:val="0"/>
          <w:numId w:val="3"/>
        </w:numPr>
        <w:spacing w:before="40" w:after="40"/>
      </w:pPr>
      <w:r>
        <w:rPr>
          <w:rFonts w:ascii="Arial" w:cs="Arial" w:eastAsia="Arial" w:hAnsi="Arial"/>
          <w:sz w:val="22"/>
          <w:szCs w:val="22"/>
        </w:rPr>
        <w:t xml:space="preserve">Il sistema analizza automaticamente il testo del documento tramite OCR e, opzionalmente, AI extraction, e propone le entità da creare (scadenze, prescrizioni)</w:t>
      </w:r>
    </w:p>
    <w:p>
      <w:pPr>
        <w:pStyle w:val="ListParagraph"/>
        <w:numPr>
          <w:ilvl w:val="0"/>
          <w:numId w:val="3"/>
        </w:numPr>
        <w:spacing w:before="40" w:after="40"/>
      </w:pPr>
      <w:r>
        <w:rPr>
          <w:rFonts w:ascii="Arial" w:cs="Arial" w:eastAsia="Arial" w:hAnsi="Arial"/>
          <w:sz w:val="22"/>
          <w:szCs w:val="22"/>
        </w:rPr>
        <w:t xml:space="preserve">Camunda avvia automaticamente un processo BPMN di lavorazione del documento</w:t>
      </w:r>
    </w:p>
    <w:p>
      <w:pPr>
        <w:pStyle w:val="ListParagraph"/>
        <w:numPr>
          <w:ilvl w:val="0"/>
          <w:numId w:val="3"/>
        </w:numPr>
        <w:spacing w:before="40" w:after="40"/>
      </w:pPr>
      <w:r>
        <w:rPr>
          <w:rFonts w:ascii="Arial" w:cs="Arial" w:eastAsia="Arial" w:hAnsi="Arial"/>
          <w:sz w:val="22"/>
          <w:szCs w:val="22"/>
        </w:rPr>
        <w:t xml:space="preserve">I task del processo appaiono nell’interfaccia Angular: il responsabile revisa le bozze estratte, le corregge se necessario e le conferma</w:t>
      </w:r>
    </w:p>
    <w:p>
      <w:pPr>
        <w:pStyle w:val="ListParagraph"/>
        <w:numPr>
          <w:ilvl w:val="0"/>
          <w:numId w:val="3"/>
        </w:numPr>
        <w:spacing w:before="40" w:after="40"/>
      </w:pPr>
      <w:r>
        <w:rPr>
          <w:rFonts w:ascii="Arial" w:cs="Arial" w:eastAsia="Arial" w:hAnsi="Arial"/>
          <w:sz w:val="22"/>
          <w:szCs w:val="22"/>
        </w:rPr>
        <w:t xml:space="preserve">Le entità confermate vengono create nel sistema AIA e collegate al documento originale</w:t>
      </w:r>
    </w:p>
    <w:p>
      <w:pPr>
        <w:pStyle w:val="ListParagraph"/>
        <w:numPr>
          <w:ilvl w:val="0"/>
          <w:numId w:val="3"/>
        </w:numPr>
        <w:spacing w:before="40" w:after="40"/>
      </w:pPr>
      <w:r>
        <w:rPr>
          <w:rFonts w:ascii="Arial" w:cs="Arial" w:eastAsia="Arial" w:hAnsi="Arial"/>
          <w:sz w:val="22"/>
          <w:szCs w:val="22"/>
        </w:rPr>
        <w:t xml:space="preserve">Tutto il percorso è tracciato: chi ha fatto cosa, quando, con quale esito</w:t>
      </w:r>
    </w:p>
    <w:p>
      <w:pPr>
        <w:spacing w:before="0" w:after="160"/>
      </w:pPr>
      <w:r>
        <w:t xml:space="preserve"/>
      </w:r>
    </w:p>
    <w:p>
      <w:pPr>
        <w:pStyle w:val="Heading1"/>
        <w:spacing w:before="300" w:after="120"/>
      </w:pPr>
      <w:r>
        <w:rPr>
          <w:rFonts w:ascii="Arial" w:cs="Arial" w:eastAsia="Arial" w:hAnsi="Arial"/>
          <w:b/>
          <w:bCs/>
          <w:color w:val="1F3864"/>
          <w:sz w:val="36"/>
          <w:szCs w:val="36"/>
        </w:rPr>
        <w:t xml:space="preserve">3. Analisi delle Tecnologie Proposte</w:t>
      </w:r>
    </w:p>
    <w:p>
      <w:pPr>
        <w:pStyle w:val="Heading2"/>
        <w:spacing w:before="300" w:after="120"/>
      </w:pPr>
      <w:r>
        <w:rPr>
          <w:rFonts w:ascii="Arial" w:cs="Arial" w:eastAsia="Arial" w:hAnsi="Arial"/>
          <w:b/>
          <w:bCs/>
          <w:color w:val="1F3864"/>
          <w:sz w:val="28"/>
          <w:szCs w:val="28"/>
        </w:rPr>
        <w:t xml:space="preserve">3.1 Document Management System: Alfresco Community Edition</w:t>
      </w:r>
    </w:p>
    <w:p>
      <w:pPr>
        <w:pStyle w:val="Heading3"/>
        <w:spacing w:before="300" w:after="120"/>
      </w:pPr>
      <w:r>
        <w:rPr>
          <w:rFonts w:ascii="Arial" w:cs="Arial" w:eastAsia="Arial" w:hAnsi="Arial"/>
          <w:b/>
          <w:bCs/>
          <w:color w:val="1F3864"/>
          <w:sz w:val="24"/>
          <w:szCs w:val="24"/>
        </w:rPr>
        <w:t xml:space="preserve">Perché Alfresco</w:t>
      </w:r>
    </w:p>
    <w:p>
      <w:pPr>
        <w:spacing w:before="60" w:after="100"/>
        <w:jc w:val="both"/>
      </w:pPr>
      <w:r>
        <w:rPr>
          <w:rFonts w:ascii="Arial" w:cs="Arial" w:eastAsia="Arial" w:hAnsi="Arial"/>
          <w:b w:val="false"/>
          <w:bCs w:val="false"/>
          <w:i w:val="false"/>
          <w:iCs w:val="false"/>
          <w:color w:val="000000"/>
          <w:sz w:val="22"/>
          <w:szCs w:val="22"/>
        </w:rPr>
        <w:t xml:space="preserve">Tra i DMS open source disponibili (Mayan EDMS, OpenKM, Paperless-ngx, Nuxeo, Alfresco), Alfresco Community Edition è la scelta più solida per un contesto di compliance ambientale: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826"/>
      </w:tblGrid>
      <w:tr>
        <w:tc>
          <w:tcPr>
            <w:tcW w:type="dxa" w:w="1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DMS</w:t>
            </w:r>
          </w:p>
        </w:tc>
        <w:tc>
          <w:tcPr>
            <w:tcW w:type="dxa" w:w="3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w:t>
            </w:r>
          </w:p>
        </w:tc>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Contro</w:t>
            </w:r>
          </w:p>
        </w:tc>
        <w:tc>
          <w:tcPr>
            <w:tcW w:type="dxa" w:w="18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Adatto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Alfresco Community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ECM completo, API REST matura, metadati custom, versioning, Solr full-text, integrazione Flowable nativa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Pesante (~3-4GB RAM), deployment complesso</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Raccomandato</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Mayan EDMS</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Leggero, OCR integrato, buona API REST, semplice deployment</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Workflow limitato, Python (eterogeneità stack)</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Alternativa leggera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OpenKM Community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Java (allineato stack), buona API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UI datata, community più piccola</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Accettabile</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Paperless-ngx</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Ottimo OCR, UI moderna, facilissimo</w:t>
            </w:r>
          </w:p>
        </w:tc>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Nessun workflow, pensato per uso personale</w:t>
            </w:r>
          </w:p>
        </w:tc>
        <w:tc>
          <w:tcPr>
            <w:tcW w:type="dxa" w:w="18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Non adatto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Nuxeo Community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Molto potente, API eccellente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Ancora più pesante di Alfresco, licenza ibrida</w:t>
            </w:r>
          </w:p>
        </w:tc>
        <w:tc>
          <w:tcPr>
            <w:tcW w:type="dxa" w:w="1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Eccessivo</w:t>
            </w:r>
          </w:p>
        </w:tc>
      </w:tr>
    </w:tbl>
    <w:p>
      <w:pPr>
        <w:spacing w:before="0" w:after="80"/>
      </w:pPr>
      <w:r>
        <w:t xml:space="preserve"/>
      </w:r>
    </w:p>
    <w:p>
      <w:pPr>
        <w:pStyle w:val="Heading3"/>
        <w:spacing w:before="300" w:after="120"/>
      </w:pPr>
      <w:r>
        <w:rPr>
          <w:rFonts w:ascii="Arial" w:cs="Arial" w:eastAsia="Arial" w:hAnsi="Arial"/>
          <w:b/>
          <w:bCs/>
          <w:color w:val="1F3864"/>
          <w:sz w:val="24"/>
          <w:szCs w:val="24"/>
        </w:rPr>
        <w:t xml:space="preserve">Funzionalità chiave di Alfresco per questo progetto</w:t>
      </w:r>
    </w:p>
    <w:p>
      <w:pPr>
        <w:pStyle w:val="ListParagraph"/>
        <w:numPr>
          <w:ilvl w:val="0"/>
          <w:numId w:val="2"/>
        </w:numPr>
        <w:spacing w:before="40" w:after="40"/>
      </w:pPr>
      <w:r>
        <w:rPr>
          <w:rFonts w:ascii="Arial" w:cs="Arial" w:eastAsia="Arial" w:hAnsi="Arial"/>
          <w:b w:val="false"/>
          <w:bCs w:val="false"/>
          <w:color w:val="000000"/>
          <w:sz w:val="22"/>
          <w:szCs w:val="22"/>
        </w:rPr>
        <w:t xml:space="preserve">Content Model personalizzabile: schema di metadati specifico per documenti AIA (numeroAIA, stabilimento, enteEmittente, tipoProvvedimento)</w:t>
      </w:r>
    </w:p>
    <w:p>
      <w:pPr>
        <w:pStyle w:val="ListParagraph"/>
        <w:numPr>
          <w:ilvl w:val="0"/>
          <w:numId w:val="2"/>
        </w:numPr>
        <w:spacing w:before="40" w:after="40"/>
      </w:pPr>
      <w:r>
        <w:rPr>
          <w:rFonts w:ascii="Arial" w:cs="Arial" w:eastAsia="Arial" w:hAnsi="Arial"/>
          <w:b w:val="false"/>
          <w:bCs w:val="false"/>
          <w:color w:val="000000"/>
          <w:sz w:val="22"/>
          <w:szCs w:val="22"/>
        </w:rPr>
        <w:t xml:space="preserve">Versioning automatico: ogni revisione di un documento è tracciata con autore e timestamp</w:t>
      </w:r>
    </w:p>
    <w:p>
      <w:pPr>
        <w:pStyle w:val="ListParagraph"/>
        <w:numPr>
          <w:ilvl w:val="0"/>
          <w:numId w:val="2"/>
        </w:numPr>
        <w:spacing w:before="40" w:after="40"/>
      </w:pPr>
      <w:r>
        <w:rPr>
          <w:rFonts w:ascii="Arial" w:cs="Arial" w:eastAsia="Arial" w:hAnsi="Arial"/>
          <w:b w:val="false"/>
          <w:bCs w:val="false"/>
          <w:color w:val="000000"/>
          <w:sz w:val="22"/>
          <w:szCs w:val="22"/>
        </w:rPr>
        <w:t xml:space="preserve">Full-text search con Apache Solr: ricerca nel contenuto dei PDF, non solo nei metadati</w:t>
      </w:r>
    </w:p>
    <w:p>
      <w:pPr>
        <w:pStyle w:val="ListParagraph"/>
        <w:numPr>
          <w:ilvl w:val="0"/>
          <w:numId w:val="2"/>
        </w:numPr>
        <w:spacing w:before="40" w:after="40"/>
      </w:pPr>
      <w:r>
        <w:rPr>
          <w:rFonts w:ascii="Arial" w:cs="Arial" w:eastAsia="Arial" w:hAnsi="Arial"/>
          <w:b w:val="false"/>
          <w:bCs w:val="false"/>
          <w:color w:val="000000"/>
          <w:sz w:val="22"/>
          <w:szCs w:val="22"/>
        </w:rPr>
        <w:t xml:space="preserve">API REST/CMIS completa: integrazione nativa con Spring Boot tramite client HTTP</w:t>
      </w:r>
    </w:p>
    <w:p>
      <w:pPr>
        <w:pStyle w:val="ListParagraph"/>
        <w:numPr>
          <w:ilvl w:val="0"/>
          <w:numId w:val="2"/>
        </w:numPr>
        <w:spacing w:before="40" w:after="40"/>
      </w:pPr>
      <w:r>
        <w:rPr>
          <w:rFonts w:ascii="Arial" w:cs="Arial" w:eastAsia="Arial" w:hAnsi="Arial"/>
          <w:b w:val="false"/>
          <w:bCs w:val="false"/>
          <w:color w:val="000000"/>
          <w:sz w:val="22"/>
          <w:szCs w:val="22"/>
        </w:rPr>
        <w:t xml:space="preserve">Thumbnail e preview automatiche: anteprima dei documenti direttamente nel frontend</w:t>
      </w:r>
    </w:p>
    <w:p>
      <w:pPr>
        <w:pStyle w:val="ListParagraph"/>
        <w:numPr>
          <w:ilvl w:val="0"/>
          <w:numId w:val="2"/>
        </w:numPr>
        <w:spacing w:before="40" w:after="40"/>
      </w:pPr>
      <w:r>
        <w:rPr>
          <w:rFonts w:ascii="Arial" w:cs="Arial" w:eastAsia="Arial" w:hAnsi="Arial"/>
          <w:b w:val="false"/>
          <w:bCs w:val="false"/>
          <w:color w:val="000000"/>
          <w:sz w:val="22"/>
          <w:szCs w:val="22"/>
        </w:rPr>
        <w:t xml:space="preserve">Regole e azioni automatiche: quando arriva un documento di tipo X, esegui azione Y (es. avvia un processo Camunda)</w:t>
      </w:r>
    </w:p>
    <w:p>
      <w:pPr>
        <w:spacing w:before="0" w:after="80"/>
      </w:pPr>
      <w:r>
        <w:t xml:space="preserve"/>
      </w:r>
    </w:p>
    <w:p>
      <w:pPr>
        <w:pStyle w:val="Heading3"/>
        <w:spacing w:before="300" w:after="120"/>
      </w:pPr>
      <w:r>
        <w:rPr>
          <w:rFonts w:ascii="Arial" w:cs="Arial" w:eastAsia="Arial" w:hAnsi="Arial"/>
          <w:b/>
          <w:bCs/>
          <w:color w:val="1F3864"/>
          <w:sz w:val="24"/>
          <w:szCs w:val="24"/>
        </w:rPr>
        <w:t xml:space="preserve">Requisiti infrastrutturali Alfresco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Risorsa</w:t>
            </w:r>
          </w:p>
        </w:tc>
        <w:tc>
          <w:tcPr>
            <w:tcW w:type="dxa" w:w="6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Minimo raccomandato</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CPU</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 core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RAM</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6 GB dedicati (Alfresco + Solr + Transform Service)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Storage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SSD, dimensionato sui volumi documentali (es. 100 GB iniziali)</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Java</w:t>
            </w:r>
          </w:p>
        </w:tc>
        <w:tc>
          <w:tcPr>
            <w:tcW w:type="dxa" w:w="6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JDK 17 (fornito dal container Docker)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Database</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PostgreSQL 14+ (condivisibile con l’applicazione)</w:t>
            </w:r>
          </w:p>
        </w:tc>
      </w:tr>
    </w:tbl>
    <w:p>
      <w:pPr>
        <w:spacing w:before="0" w:after="160"/>
      </w:pPr>
      <w:r>
        <w:t xml:space="preserve"/>
      </w:r>
    </w:p>
    <w:p>
      <w:pPr>
        <w:pStyle w:val="Heading2"/>
        <w:spacing w:before="300" w:after="120"/>
      </w:pPr>
      <w:r>
        <w:rPr>
          <w:rFonts w:ascii="Arial" w:cs="Arial" w:eastAsia="Arial" w:hAnsi="Arial"/>
          <w:b/>
          <w:bCs/>
          <w:color w:val="1F3864"/>
          <w:sz w:val="28"/>
          <w:szCs w:val="28"/>
        </w:rPr>
        <w:t xml:space="preserve">3.2 BPMN Engine: Camunda 7 Community</w:t>
      </w:r>
    </w:p>
    <w:p>
      <w:pPr>
        <w:pStyle w:val="Heading3"/>
        <w:spacing w:before="300" w:after="120"/>
      </w:pPr>
      <w:r>
        <w:rPr>
          <w:rFonts w:ascii="Arial" w:cs="Arial" w:eastAsia="Arial" w:hAnsi="Arial"/>
          <w:b/>
          <w:bCs/>
          <w:color w:val="1F3864"/>
          <w:sz w:val="24"/>
          <w:szCs w:val="24"/>
        </w:rPr>
        <w:t xml:space="preserve">Perché Camunda 7</w:t>
      </w:r>
    </w:p>
    <w:p>
      <w:pPr>
        <w:spacing w:before="60" w:after="100"/>
        <w:jc w:val="both"/>
      </w:pPr>
      <w:r>
        <w:rPr>
          <w:rFonts w:ascii="Arial" w:cs="Arial" w:eastAsia="Arial" w:hAnsi="Arial"/>
          <w:b w:val="false"/>
          <w:bCs w:val="false"/>
          <w:i w:val="false"/>
          <w:iCs w:val="false"/>
          <w:color w:val="000000"/>
          <w:sz w:val="22"/>
          <w:szCs w:val="22"/>
        </w:rPr>
        <w:t xml:space="preserve">Camunda 7 Community Edition è il punto di riferimento open source per i processi BPMN in ambito enterprise Java. La scelta rispetto alle alternative è motivata principalmente dalla capacità di embedding nel frontend: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Engine BPMN</w:t>
            </w:r>
          </w:p>
        </w:tc>
        <w:tc>
          <w:tcPr>
            <w:tcW w:type="dxa" w:w="5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Embedding Angular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Camunda 7 Community</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bpmn-js (libreria ufficiale npm, 10k+ stelle GitHub)</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Flowable</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API REST buona, ma no libreria Angular dedicata</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Activiti (standalone)</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UI non embeddable facilmente</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jBPM (Red Hat)</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UI Workbench non embeddable, deployment complesso</w:t>
            </w:r>
          </w:p>
        </w:tc>
      </w:tr>
    </w:tbl>
    <w:p>
      <w:pPr>
        <w:spacing w:before="0" w:after="80"/>
      </w:pPr>
      <w:r>
        <w:t xml:space="preserve"/>
      </w:r>
    </w:p>
    <w:p>
      <w:pPr>
        <w:pStyle w:val="Heading3"/>
        <w:spacing w:before="300" w:after="120"/>
      </w:pPr>
      <w:r>
        <w:rPr>
          <w:rFonts w:ascii="Arial" w:cs="Arial" w:eastAsia="Arial" w:hAnsi="Arial"/>
          <w:b/>
          <w:bCs/>
          <w:color w:val="1F3864"/>
          <w:sz w:val="24"/>
          <w:szCs w:val="24"/>
        </w:rPr>
        <w:t xml:space="preserve">bpmn-js: embedding nel frontend Angular</w:t>
      </w:r>
    </w:p>
    <w:p>
      <w:pPr>
        <w:spacing w:before="60" w:after="100"/>
        <w:jc w:val="both"/>
      </w:pPr>
      <w:r>
        <w:rPr>
          <w:rFonts w:ascii="Arial" w:cs="Arial" w:eastAsia="Arial" w:hAnsi="Arial"/>
          <w:b w:val="false"/>
          <w:bCs w:val="false"/>
          <w:i w:val="false"/>
          <w:iCs w:val="false"/>
          <w:color w:val="000000"/>
          <w:sz w:val="22"/>
          <w:szCs w:val="22"/>
        </w:rPr>
        <w:t xml:space="preserve">bpmn-js è la libreria JavaScript open source di Camunda per renderizzare e interagire con diagrammi BPMN 2.0 nel browser. Può essere installata come pacchetto npm e integrata in qualsiasi componente Angular:</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2B2B2B" w:val="clear"/>
            <w:tcMar>
              <w:top w:type="dxa" w:w="100"/>
              <w:left w:type="dxa" w:w="200"/>
              <w:bottom w:type="dxa" w:w="100"/>
              <w:right w:type="dxa" w:w="200"/>
            </w:tcMar>
          </w:tcPr>
          <w:p>
            <w:r>
              <w:rPr>
                <w:rFonts w:ascii="Courier New" w:cs="Courier New" w:eastAsia="Courier New" w:hAnsi="Courier New"/>
                <w:color w:val="A8FF60"/>
                <w:sz w:val="20"/>
                <w:szCs w:val="20"/>
              </w:rPr>
              <w:t xml:space="preserve">npm install bpmn-js @bpmn-io/form-js camunda-bpmn-moddle</w:t>
            </w:r>
          </w:p>
          <w:p>
            <w:pPr>
              <w:spacing w:before="40"/>
            </w:pPr>
            <w:r>
              <w:rPr>
                <w:rFonts w:ascii="Courier New" w:cs="Courier New" w:eastAsia="Courier New" w:hAnsi="Courier New"/>
                <w:color w:val="888888"/>
                <w:sz w:val="18"/>
                <w:szCs w:val="18"/>
              </w:rPr>
              <w:t xml:space="preserve"># bpmn-js      → render/edit diagrammi BPMN nel browser</w:t>
            </w:r>
          </w:p>
          <w:p>
            <w:r>
              <w:rPr>
                <w:rFonts w:ascii="Courier New" w:cs="Courier New" w:eastAsia="Courier New" w:hAnsi="Courier New"/>
                <w:color w:val="888888"/>
                <w:sz w:val="18"/>
                <w:szCs w:val="18"/>
              </w:rPr>
              <w:t xml:space="preserve"># form-js       → render form task embedded in Angular</w:t>
            </w:r>
          </w:p>
          <w:p>
            <w:r>
              <w:rPr>
                <w:rFonts w:ascii="Courier New" w:cs="Courier New" w:eastAsia="Courier New" w:hAnsi="Courier New"/>
                <w:color w:val="888888"/>
                <w:sz w:val="18"/>
                <w:szCs w:val="18"/>
              </w:rPr>
              <w:t xml:space="preserve"># camunda-moddle → estensioni Camunda al meta-modello BPMN</w:t>
            </w:r>
          </w:p>
        </w:tc>
      </w:tr>
    </w:tbl>
    <w:p>
      <w:pPr>
        <w:spacing w:before="0" w:after="80"/>
      </w:pPr>
      <w:r>
        <w:t xml:space="preserve"/>
      </w:r>
    </w:p>
    <w:p>
      <w:pPr>
        <w:spacing w:before="60" w:after="100"/>
        <w:jc w:val="both"/>
      </w:pPr>
      <w:r>
        <w:rPr>
          <w:rFonts w:ascii="Arial" w:cs="Arial" w:eastAsia="Arial" w:hAnsi="Arial"/>
          <w:b w:val="false"/>
          <w:bCs w:val="false"/>
          <w:i w:val="false"/>
          <w:iCs w:val="false"/>
          <w:color w:val="000000"/>
          <w:sz w:val="22"/>
          <w:szCs w:val="22"/>
        </w:rPr>
        <w:t xml:space="preserve">Con queste librerie è possibile creare in Angular:</w:t>
      </w:r>
    </w:p>
    <w:p>
      <w:pPr>
        <w:pStyle w:val="ListParagraph"/>
        <w:numPr>
          <w:ilvl w:val="0"/>
          <w:numId w:val="2"/>
        </w:numPr>
        <w:spacing w:before="40" w:after="40"/>
      </w:pPr>
      <w:r>
        <w:rPr>
          <w:rFonts w:ascii="Arial" w:cs="Arial" w:eastAsia="Arial" w:hAnsi="Arial"/>
          <w:b w:val="false"/>
          <w:bCs w:val="false"/>
          <w:color w:val="000000"/>
          <w:sz w:val="22"/>
          <w:szCs w:val="22"/>
        </w:rPr>
        <w:t xml:space="preserve">Un viewer del processo in corso (quali task sono completati, quale è attivo)</w:t>
      </w:r>
    </w:p>
    <w:p>
      <w:pPr>
        <w:pStyle w:val="ListParagraph"/>
        <w:numPr>
          <w:ilvl w:val="0"/>
          <w:numId w:val="2"/>
        </w:numPr>
        <w:spacing w:before="40" w:after="40"/>
      </w:pPr>
      <w:r>
        <w:rPr>
          <w:rFonts w:ascii="Arial" w:cs="Arial" w:eastAsia="Arial" w:hAnsi="Arial"/>
          <w:b w:val="false"/>
          <w:bCs w:val="false"/>
          <w:color w:val="000000"/>
          <w:sz w:val="22"/>
          <w:szCs w:val="22"/>
        </w:rPr>
        <w:t xml:space="preserve">Un form di task che l’utente compila direttamente nell’interfaccia AIA, senza accedere alla Camunda Tasklist separata</w:t>
      </w:r>
    </w:p>
    <w:p>
      <w:pPr>
        <w:pStyle w:val="ListParagraph"/>
        <w:numPr>
          <w:ilvl w:val="0"/>
          <w:numId w:val="2"/>
        </w:numPr>
        <w:spacing w:before="40" w:after="40"/>
      </w:pPr>
      <w:r>
        <w:rPr>
          <w:rFonts w:ascii="Arial" w:cs="Arial" w:eastAsia="Arial" w:hAnsi="Arial"/>
          <w:b w:val="false"/>
          <w:bCs w:val="false"/>
          <w:color w:val="000000"/>
          <w:sz w:val="22"/>
          <w:szCs w:val="22"/>
        </w:rPr>
        <w:t xml:space="preserve">Una vista amministrativa per disegnare o modificare i processi (BPMN Modeler)</w:t>
      </w:r>
    </w:p>
    <w:p>
      <w:pPr>
        <w:spacing w:before="0" w:after="80"/>
      </w:pPr>
      <w:r>
        <w:t xml:space="preserve"/>
      </w:r>
    </w:p>
    <w:p>
      <w:pPr>
        <w:pStyle w:val="Heading3"/>
        <w:spacing w:before="300" w:after="120"/>
      </w:pPr>
      <w:r>
        <w:rPr>
          <w:rFonts w:ascii="Arial" w:cs="Arial" w:eastAsia="Arial" w:hAnsi="Arial"/>
          <w:b/>
          <w:bCs/>
          <w:color w:val="1F3864"/>
          <w:sz w:val="24"/>
          <w:szCs w:val="24"/>
        </w:rPr>
        <w:t xml:space="preserve">Modalità di deployment Camunda 7</w:t>
      </w:r>
    </w:p>
    <w:p>
      <w:pPr>
        <w:spacing w:before="60" w:after="100"/>
        <w:jc w:val="both"/>
      </w:pPr>
      <w:r>
        <w:rPr>
          <w:rFonts w:ascii="Arial" w:cs="Arial" w:eastAsia="Arial" w:hAnsi="Arial"/>
          <w:b w:val="false"/>
          <w:bCs w:val="false"/>
          <w:i w:val="false"/>
          <w:iCs w:val="false"/>
          <w:color w:val="000000"/>
          <w:sz w:val="22"/>
          <w:szCs w:val="22"/>
        </w:rPr>
        <w:t xml:space="preserve">Camunda 7 può essere usato in due modi, entrambi compatibili con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Modalità</w:t>
            </w:r>
          </w:p>
        </w:tc>
        <w:tc>
          <w:tcPr>
            <w:tcW w:type="dxa" w:w="68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Descrizione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Embedded (raccomandato)</w:t>
            </w:r>
          </w:p>
        </w:tc>
        <w:tc>
          <w:tcPr>
            <w:tcW w:type="dxa" w:w="6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Camunda gira dentro il processo Spring Boot come libreria. Condivide il datasource PostgreSQL. Deployment più semplice, nessun servizio aggiuntivo da orchestrare.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Standalone (REST)</w:t>
            </w:r>
          </w:p>
        </w:tc>
        <w:tc>
          <w:tcPr>
            <w:tcW w:type="dxa" w:w="68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Camunda gira come servizio Docker separato. Lo Spring Boot lo chiama via REST API. Più flessibile per future evoluzioni verso Camunda 8.</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00"/>
              <w:left w:type="dxa" w:w="180"/>
              <w:bottom w:type="dxa" w:w="100"/>
              <w:right w:type="dxa" w:w="180"/>
            </w:tcMar>
          </w:tcPr>
          <w:p>
            <w:r>
              <w:rPr>
                <w:rFonts w:ascii="Arial" w:cs="Arial" w:eastAsia="Arial" w:hAnsi="Arial"/>
                <w:b/>
                <w:bCs/>
                <w:sz w:val="22"/>
                <w:szCs w:val="22"/>
              </w:rPr>
              <w:t xml:space="preserve">💡  Raccomandazione</w:t>
            </w:r>
          </w:p>
          <w:p>
            <w:pPr>
              <w:spacing w:before="60"/>
            </w:pPr>
            <w:r>
              <w:rPr>
                <w:rFonts w:ascii="Arial" w:cs="Arial" w:eastAsia="Arial" w:hAnsi="Arial"/>
                <w:sz w:val="20"/>
                <w:szCs w:val="20"/>
              </w:rPr>
              <w:t xml:space="preserve">Iniziare con Camunda embedded nel backend Spring Boot. Riduce la complessità operativa e permette di condividere le entità JPA esistenti (Stabilimento, Prescrizione, ecc.) direttamente nelle Delegation Java dei task BPMN.</w:t>
            </w:r>
          </w:p>
        </w:tc>
      </w:tr>
    </w:tbl>
    <w:p>
      <w:pPr>
        <w:spacing w:before="0" w:after="160"/>
      </w:pPr>
      <w:r>
        <w:t xml:space="preserve"/>
      </w:r>
    </w:p>
    <w:p>
      <w:pPr>
        <w:pStyle w:val="Heading1"/>
        <w:spacing w:before="300" w:after="120"/>
      </w:pPr>
      <w:r>
        <w:rPr>
          <w:rFonts w:ascii="Arial" w:cs="Arial" w:eastAsia="Arial" w:hAnsi="Arial"/>
          <w:b/>
          <w:bCs/>
          <w:color w:val="1F3864"/>
          <w:sz w:val="36"/>
          <w:szCs w:val="36"/>
        </w:rPr>
        <w:t xml:space="preserve">4. Architettura della Soluzione</w:t>
      </w:r>
    </w:p>
    <w:p>
      <w:pPr>
        <w:pStyle w:val="Heading2"/>
        <w:spacing w:before="300" w:after="120"/>
      </w:pPr>
      <w:r>
        <w:rPr>
          <w:rFonts w:ascii="Arial" w:cs="Arial" w:eastAsia="Arial" w:hAnsi="Arial"/>
          <w:b/>
          <w:bCs/>
          <w:color w:val="1F3864"/>
          <w:sz w:val="28"/>
          <w:szCs w:val="28"/>
        </w:rPr>
        <w:t xml:space="preserve">4.1 Schema architetturale</w:t>
      </w:r>
    </w:p>
    <w:p>
      <w:pPr>
        <w:spacing w:before="60" w:after="100"/>
        <w:jc w:val="both"/>
      </w:pPr>
      <w:r>
        <w:rPr>
          <w:rFonts w:ascii="Arial" w:cs="Arial" w:eastAsia="Arial" w:hAnsi="Arial"/>
          <w:b w:val="false"/>
          <w:bCs w:val="false"/>
          <w:i w:val="false"/>
          <w:iCs w:val="false"/>
          <w:color w:val="000000"/>
          <w:sz w:val="22"/>
          <w:szCs w:val="22"/>
        </w:rPr>
        <w:t xml:space="preserve">L’architettura risultante aggiunge due layer al sistema esistente, mantenendo il backend Spring Boot come unico punto di accesso del frontend:</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50"/>
              <w:left w:type="dxa" w:w="200"/>
              <w:bottom w:type="dxa" w:w="150"/>
              <w:right w:type="dxa" w:w="200"/>
            </w:tcMar>
          </w:tcPr>
          <w:p>
            <w:pPr>
              <w:jc w:val="center"/>
            </w:pPr>
            <w:r>
              <w:rPr>
                <w:rFonts w:ascii="Courier New" w:cs="Courier New" w:eastAsia="Courier New" w:hAnsi="Courier New"/>
                <w:b/>
                <w:bCs/>
                <w:sz w:val="20"/>
                <w:szCs w:val="20"/>
              </w:rPr>
              <w:t xml:space="preserve">┏━━━━━━━━━━━━━━━━━━━━━━━━━━━━━━━━━━━━━━━━━━━━━━━┓</w:t>
            </w:r>
          </w:p>
          <w:p>
            <w:pPr>
              <w:jc w:val="center"/>
            </w:pPr>
            <w:r>
              <w:rPr>
                <w:rFonts w:ascii="Courier New" w:cs="Courier New" w:eastAsia="Courier New" w:hAnsi="Courier New"/>
                <w:b/>
                <w:bCs/>
                <w:sz w:val="20"/>
                <w:szCs w:val="20"/>
              </w:rPr>
              <w:t xml:space="preserve">┃        ANGULAR FRONTEND (porta 4200)                  ┃</w:t>
            </w:r>
          </w:p>
          <w:p>
            <w:pPr>
              <w:jc w:val="center"/>
            </w:pPr>
            <w:r>
              <w:rPr>
                <w:rFonts w:ascii="Courier New" w:cs="Courier New" w:eastAsia="Courier New" w:hAnsi="Courier New"/>
                <w:sz w:val="20"/>
                <w:szCs w:val="20"/>
              </w:rPr>
              <w:t xml:space="preserve">┃  [Moduli esistenti] + [DMS UI] + [BPMN Viewer/Task]   ┃</w:t>
            </w:r>
          </w:p>
          <w:p>
            <w:pPr>
              <w:jc w:val="center"/>
            </w:pPr>
            <w:r>
              <w:rPr>
                <w:rFonts w:ascii="Courier New" w:cs="Courier New" w:eastAsia="Courier New" w:hAnsi="Courier New"/>
                <w:b/>
                <w:bCs/>
                <w:sz w:val="20"/>
                <w:szCs w:val="20"/>
              </w:rPr>
              <w:t xml:space="preserve">┗━━━━━━━━━━━━━━━━━━━━━━━━┫━━━━━━━━━━━━━━━━━━━━━┛</w:t>
            </w:r>
          </w:p>
          <w:p>
            <w:pPr>
              <w:jc w:val="center"/>
            </w:pPr>
            <w:r>
              <w:rPr>
                <w:rFonts w:ascii="Courier New" w:cs="Courier New" w:eastAsia="Courier New" w:hAnsi="Courier New"/>
                <w:sz w:val="20"/>
                <w:szCs w:val="20"/>
              </w:rPr>
              <w:t xml:space="preserve">                      | REST/HTTP                      </w:t>
            </w:r>
          </w:p>
          <w:p>
            <w:pPr>
              <w:jc w:val="center"/>
            </w:pPr>
            <w:r>
              <w:rPr>
                <w:rFonts w:ascii="Courier New" w:cs="Courier New" w:eastAsia="Courier New" w:hAnsi="Courier New"/>
                <w:sz w:val="20"/>
                <w:szCs w:val="20"/>
              </w:rPr>
              <w:t xml:space="preserve">                      v                                 </w:t>
            </w:r>
          </w:p>
          <w:p>
            <w:pPr>
              <w:jc w:val="center"/>
            </w:pPr>
            <w:r>
              <w:rPr>
                <w:rFonts w:ascii="Courier New" w:cs="Courier New" w:eastAsia="Courier New" w:hAnsi="Courier New"/>
                <w:b/>
                <w:bCs/>
                <w:sz w:val="20"/>
                <w:szCs w:val="20"/>
              </w:rPr>
              <w:t xml:space="preserve">┏━━━━━━━━━━━━━━━━━━━━━━━━━━━━━━━━━━━━━━━━━━━━━━━┓</w:t>
            </w:r>
          </w:p>
          <w:p>
            <w:pPr>
              <w:jc w:val="center"/>
            </w:pPr>
            <w:r>
              <w:rPr>
                <w:rFonts w:ascii="Courier New" w:cs="Courier New" w:eastAsia="Courier New" w:hAnsi="Courier New"/>
                <w:b/>
                <w:bCs/>
                <w:sz w:val="20"/>
                <w:szCs w:val="20"/>
              </w:rPr>
              <w:t xml:space="preserve">┃  SPRING BOOT BACKEND (porta 8080)                    ┃</w:t>
            </w:r>
          </w:p>
          <w:p>
            <w:pPr>
              <w:jc w:val="center"/>
            </w:pPr>
            <w:r>
              <w:rPr>
                <w:rFonts w:ascii="Courier New" w:cs="Courier New" w:eastAsia="Courier New" w:hAnsi="Courier New"/>
                <w:sz w:val="20"/>
                <w:szCs w:val="20"/>
              </w:rPr>
              <w:t xml:space="preserve">┃  + Camunda Engine (embedded)                         ┃</w:t>
            </w:r>
          </w:p>
          <w:p>
            <w:pPr>
              <w:jc w:val="center"/>
            </w:pPr>
            <w:r>
              <w:rPr>
                <w:rFonts w:ascii="Courier New" w:cs="Courier New" w:eastAsia="Courier New" w:hAnsi="Courier New"/>
                <w:sz w:val="20"/>
                <w:szCs w:val="20"/>
              </w:rPr>
              <w:t xml:space="preserve">┃  + AlfrescoAdapter | + CamundaProcessService         ┃</w:t>
            </w:r>
          </w:p>
          <w:p>
            <w:pPr>
              <w:jc w:val="center"/>
            </w:pPr>
            <w:r>
              <w:rPr>
                <w:rFonts w:ascii="Courier New" w:cs="Courier New" w:eastAsia="Courier New" w:hAnsi="Courier New"/>
                <w:sz w:val="20"/>
                <w:szCs w:val="20"/>
              </w:rPr>
              <w:t xml:space="preserve">┃  + DocumentoAnalisiService (OCR + AI extraction)     ┃</w:t>
            </w:r>
          </w:p>
          <w:p>
            <w:pPr>
              <w:jc w:val="center"/>
            </w:pPr>
            <w:r>
              <w:rPr>
                <w:rFonts w:ascii="Courier New" w:cs="Courier New" w:eastAsia="Courier New" w:hAnsi="Courier New"/>
                <w:b/>
                <w:bCs/>
                <w:sz w:val="20"/>
                <w:szCs w:val="20"/>
              </w:rPr>
              <w:t xml:space="preserve">┗━━━━━━━━━━┫━━━━━━━━━━┫━━━━━━━━━━━━━━━━━━━━━━━━┛</w:t>
            </w:r>
          </w:p>
          <w:p>
            <w:pPr>
              <w:jc w:val="center"/>
            </w:pPr>
            <w:r>
              <w:rPr>
                <w:rFonts w:ascii="Courier New" w:cs="Courier New" w:eastAsia="Courier New" w:hAnsi="Courier New"/>
                <w:sz w:val="20"/>
                <w:szCs w:val="20"/>
              </w:rPr>
              <w:t xml:space="preserve">           |          |                                 </w:t>
            </w:r>
          </w:p>
          <w:p>
            <w:pPr>
              <w:jc w:val="center"/>
            </w:pPr>
            <w:r>
              <w:rPr>
                <w:rFonts w:ascii="Courier New" w:cs="Courier New" w:eastAsia="Courier New" w:hAnsi="Courier New"/>
                <w:sz w:val="20"/>
                <w:szCs w:val="20"/>
              </w:rPr>
              <w:t xml:space="preserve">           v          v                                 </w:t>
            </w:r>
          </w:p>
          <w:p>
            <w:pPr>
              <w:jc w:val="center"/>
            </w:pPr>
            <w:r>
              <w:rPr>
                <w:rFonts w:ascii="Courier New" w:cs="Courier New" w:eastAsia="Courier New" w:hAnsi="Courier New"/>
                <w:sz w:val="20"/>
                <w:szCs w:val="20"/>
              </w:rPr>
              <w:t xml:space="preserve">  ┏━━━━━━━━━┓  ┏━━━━━━━━━━━━━━━━━━━━━━━┓          </w:t>
            </w:r>
          </w:p>
          <w:p>
            <w:pPr>
              <w:jc w:val="center"/>
            </w:pPr>
            <w:r>
              <w:rPr>
                <w:rFonts w:ascii="Courier New" w:cs="Courier New" w:eastAsia="Courier New" w:hAnsi="Courier New"/>
                <w:sz w:val="20"/>
                <w:szCs w:val="20"/>
              </w:rPr>
              <w:t xml:space="preserve">  ┃PostgreSQL┃  ┃  Alfresco Community   ┃          </w:t>
            </w:r>
          </w:p>
          <w:p>
            <w:pPr>
              <w:jc w:val="center"/>
            </w:pPr>
            <w:r>
              <w:rPr>
                <w:rFonts w:ascii="Courier New" w:cs="Courier New" w:eastAsia="Courier New" w:hAnsi="Courier New"/>
                <w:sz w:val="20"/>
                <w:szCs w:val="20"/>
              </w:rPr>
              <w:t xml:space="preserve">  ┃ (AIA DB) ┃  ┃  + Apache Solr        ┃          </w:t>
            </w:r>
          </w:p>
          <w:p>
            <w:pPr>
              <w:jc w:val="center"/>
            </w:pPr>
            <w:r>
              <w:rPr>
                <w:rFonts w:ascii="Courier New" w:cs="Courier New" w:eastAsia="Courier New" w:hAnsi="Courier New"/>
                <w:sz w:val="20"/>
                <w:szCs w:val="20"/>
              </w:rPr>
              <w:t xml:space="preserve">  ┃ + Camunda┃  ┃  + Transform Service  ┃          </w:t>
            </w:r>
          </w:p>
          <w:p>
            <w:pPr>
              <w:jc w:val="center"/>
            </w:pPr>
            <w:r>
              <w:rPr>
                <w:rFonts w:ascii="Courier New" w:cs="Courier New" w:eastAsia="Courier New" w:hAnsi="Courier New"/>
                <w:sz w:val="20"/>
                <w:szCs w:val="20"/>
              </w:rPr>
              <w:t xml:space="preserve">  ┃  tables ┃  ┃  (porta 8080 interno) ┃          </w:t>
            </w:r>
          </w:p>
          <w:p>
            <w:pPr>
              <w:jc w:val="center"/>
            </w:pPr>
            <w:r>
              <w:rPr>
                <w:rFonts w:ascii="Courier New" w:cs="Courier New" w:eastAsia="Courier New" w:hAnsi="Courier New"/>
                <w:sz w:val="20"/>
                <w:szCs w:val="20"/>
              </w:rPr>
              <w:t xml:space="preserve">  ┗━━━━━━━━━┛  ┗━━━━━━━━━━━━━━━━━━━━━━━┛          </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4.2 Flusso dati: documento in ingresso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400"/>
        <w:gridCol w:w="4526"/>
      </w:tblGrid>
      <w:tr>
        <w:tc>
          <w:tcPr>
            <w:tcW w:type="dxa" w:w="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Step</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Attore</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Componente</w:t>
            </w:r>
          </w:p>
        </w:tc>
        <w:tc>
          <w:tcPr>
            <w:tcW w:type="dxa" w:w="45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Output</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Operatore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Angular + Spring Boot</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Upload file → salvato in Alfresco con metadati AIA</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Sistema</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Spring Boot @Async</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Estrazione testo (PDF/OCR), chiamata AI per parsing entità</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Sistema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Camunda Engine</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Avvio processo BPMN “Lavorazione Documento AIA”</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Responsabile</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Angular + bpmn-js</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Task: revisione bozze estratte, conferma/modifica</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Sistema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Spring Boot Service</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Creazione entità confermate (Scadenza, Prescrizione, ecc.)</w:t>
            </w:r>
          </w:p>
        </w:tc>
      </w:tr>
      <w:tr>
        <w:tc>
          <w:tcPr>
            <w:tcW w:type="dxa" w:w="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Sistema</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Camunda Engine</w:t>
            </w:r>
          </w:p>
        </w:tc>
        <w:tc>
          <w:tcPr>
            <w:tcW w:type="dxa" w:w="4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Completamento processo, notifica email al responsabile</w:t>
            </w:r>
          </w:p>
        </w:tc>
      </w:tr>
    </w:tbl>
    <w:p>
      <w:pPr>
        <w:spacing w:before="0" w:after="160"/>
      </w:pPr>
      <w:r>
        <w:t xml:space="preserve"/>
      </w:r>
    </w:p>
    <w:p>
      <w:pPr>
        <w:pStyle w:val="Heading2"/>
        <w:spacing w:before="300" w:after="120"/>
      </w:pPr>
      <w:r>
        <w:rPr>
          <w:rFonts w:ascii="Arial" w:cs="Arial" w:eastAsia="Arial" w:hAnsi="Arial"/>
          <w:b/>
          <w:bCs/>
          <w:color w:val="1F3864"/>
          <w:sz w:val="28"/>
          <w:szCs w:val="28"/>
        </w:rPr>
        <w:t xml:space="preserve">4.3 Processo BPMN: Lavorazione Documento AIA</w:t>
      </w:r>
    </w:p>
    <w:p>
      <w:pPr>
        <w:spacing w:before="60" w:after="100"/>
        <w:jc w:val="both"/>
      </w:pPr>
      <w:r>
        <w:rPr>
          <w:rFonts w:ascii="Arial" w:cs="Arial" w:eastAsia="Arial" w:hAnsi="Arial"/>
          <w:b w:val="false"/>
          <w:bCs w:val="false"/>
          <w:i w:val="false"/>
          <w:iCs w:val="false"/>
          <w:color w:val="000000"/>
          <w:sz w:val="22"/>
          <w:szCs w:val="22"/>
        </w:rPr>
        <w:t xml:space="preserve">Il processo principale da modellare in BPMN 2.0 è il seguente. Viene avviato automaticamente all’arrivo di ogni documento e gestisce la lavorazione fino alla creazione delle entità nel sistema: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Lanes del processo BPMN</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Lane SISTEMA: Analisi OCR documento → Estrazione bozze entità (AI) → Notifica responsabile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Lane RESPONSABILE: Task “Revisione bozze” → [Gateway] Dati corretti? → sì: Conferma • no: Modifica manuale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Lane ADMIN (opzionale): Task “Approvazione” per documenti ad alta priorità (es. provvedimenti sanzionatori)</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Lane SISTEMA: Creazione entità confermate in AIA → Aggiornamento stato documento in Alfresco → Fine</w:t>
            </w:r>
          </w:p>
        </w:tc>
      </w:tr>
    </w:tbl>
    <w:p>
      <w:pPr>
        <w:spacing w:before="0" w:after="80"/>
      </w:pPr>
      <w:r>
        <w:t xml:space="preserve"/>
      </w:r>
    </w:p>
    <w:p>
      <w:pPr>
        <w:spacing w:before="60" w:after="100"/>
        <w:jc w:val="both"/>
      </w:pPr>
      <w:r>
        <w:rPr>
          <w:rFonts w:ascii="Arial" w:cs="Arial" w:eastAsia="Arial" w:hAnsi="Arial"/>
          <w:b w:val="false"/>
          <w:bCs w:val="false"/>
          <w:i w:val="false"/>
          <w:iCs w:val="false"/>
          <w:color w:val="000000"/>
          <w:sz w:val="22"/>
          <w:szCs w:val="22"/>
        </w:rPr>
        <w:t xml:space="preserve">Processi secondari aggiuntivi:</w:t>
      </w:r>
    </w:p>
    <w:p>
      <w:pPr>
        <w:pStyle w:val="ListParagraph"/>
        <w:numPr>
          <w:ilvl w:val="0"/>
          <w:numId w:val="2"/>
        </w:numPr>
        <w:spacing w:before="40" w:after="40"/>
      </w:pPr>
      <w:r>
        <w:rPr>
          <w:rFonts w:ascii="Arial" w:cs="Arial" w:eastAsia="Arial" w:hAnsi="Arial"/>
          <w:b w:val="false"/>
          <w:bCs w:val="false"/>
          <w:color w:val="000000"/>
          <w:sz w:val="22"/>
          <w:szCs w:val="22"/>
        </w:rPr>
        <w:t xml:space="preserve">Processo “Rinnovo AIA”: scaduto il numero di giorni di preavviso configurato, avvia un workflow di raccolta documentazione per il rinnovo</w:t>
      </w:r>
    </w:p>
    <w:p>
      <w:pPr>
        <w:pStyle w:val="ListParagraph"/>
        <w:numPr>
          <w:ilvl w:val="0"/>
          <w:numId w:val="2"/>
        </w:numPr>
        <w:spacing w:before="40" w:after="40"/>
      </w:pPr>
      <w:r>
        <w:rPr>
          <w:rFonts w:ascii="Arial" w:cs="Arial" w:eastAsia="Arial" w:hAnsi="Arial"/>
          <w:b w:val="false"/>
          <w:bCs w:val="false"/>
          <w:color w:val="000000"/>
          <w:sz w:val="22"/>
          <w:szCs w:val="22"/>
        </w:rPr>
        <w:t xml:space="preserve">Processo “Non Conformità”: quando un dato ambientale supera il limite, avvia un workflow di segnalazione e azioni correttive</w:t>
      </w:r>
    </w:p>
    <w:p>
      <w:pPr>
        <w:pStyle w:val="ListParagraph"/>
        <w:numPr>
          <w:ilvl w:val="0"/>
          <w:numId w:val="2"/>
        </w:numPr>
        <w:spacing w:before="40" w:after="40"/>
      </w:pPr>
      <w:r>
        <w:rPr>
          <w:rFonts w:ascii="Arial" w:cs="Arial" w:eastAsia="Arial" w:hAnsi="Arial"/>
          <w:b w:val="false"/>
          <w:bCs w:val="false"/>
          <w:color w:val="000000"/>
          <w:sz w:val="22"/>
          <w:szCs w:val="22"/>
        </w:rPr>
        <w:t xml:space="preserve">Processo “Integrazione Ente”: gestisce le risposte alle richieste di integrazione da ARPA/Regione con scadenze e reminder</w:t>
      </w:r>
    </w:p>
    <w:p>
      <w:pPr>
        <w:spacing w:before="0" w:after="160"/>
      </w:pPr>
      <w:r>
        <w:t xml:space="preserve"/>
      </w:r>
    </w:p>
    <w:p>
      <w:pPr>
        <w:pStyle w:val="Heading1"/>
        <w:spacing w:before="300" w:after="120"/>
      </w:pPr>
      <w:r>
        <w:rPr>
          <w:rFonts w:ascii="Arial" w:cs="Arial" w:eastAsia="Arial" w:hAnsi="Arial"/>
          <w:b/>
          <w:bCs/>
          <w:color w:val="1F3864"/>
          <w:sz w:val="36"/>
          <w:szCs w:val="36"/>
        </w:rPr>
        <w:t xml:space="preserve">5. Implementazione Backend (Spring Boot)</w:t>
      </w:r>
    </w:p>
    <w:p>
      <w:pPr>
        <w:pStyle w:val="Heading2"/>
        <w:spacing w:before="300" w:after="120"/>
      </w:pPr>
      <w:r>
        <w:rPr>
          <w:rFonts w:ascii="Arial" w:cs="Arial" w:eastAsia="Arial" w:hAnsi="Arial"/>
          <w:b/>
          <w:bCs/>
          <w:color w:val="1F3864"/>
          <w:sz w:val="28"/>
          <w:szCs w:val="28"/>
        </w:rPr>
        <w:t xml:space="preserve">5.1 Dipendenze Maven da aggiungere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2B2B2B" w:val="clear"/>
            <w:tcMar>
              <w:top w:type="dxa" w:w="100"/>
              <w:left w:type="dxa" w:w="200"/>
              <w:bottom w:type="dxa" w:w="100"/>
              <w:right w:type="dxa" w:w="200"/>
            </w:tcMar>
          </w:tcPr>
          <w:p>
            <w:r>
              <w:rPr>
                <w:rFonts w:ascii="Courier New" w:cs="Courier New" w:eastAsia="Courier New" w:hAnsi="Courier New"/>
                <w:color w:val="888888"/>
                <w:sz w:val="18"/>
                <w:szCs w:val="18"/>
              </w:rPr>
              <w:t xml:space="preserve">&lt;!-- Camunda 7 embedded --&gt;</w:t>
            </w:r>
          </w:p>
          <w:p>
            <w:r>
              <w:rPr>
                <w:rFonts w:ascii="Courier New" w:cs="Courier New" w:eastAsia="Courier New" w:hAnsi="Courier New"/>
                <w:color w:val="A8FF60"/>
                <w:sz w:val="18"/>
                <w:szCs w:val="18"/>
              </w:rPr>
              <w:t xml:space="preserve">&lt;dependency&gt;</w:t>
            </w:r>
          </w:p>
          <w:p>
            <w:r>
              <w:rPr>
                <w:rFonts w:ascii="Courier New" w:cs="Courier New" w:eastAsia="Courier New" w:hAnsi="Courier New"/>
                <w:color w:val="FFFFFF"/>
                <w:sz w:val="18"/>
                <w:szCs w:val="18"/>
              </w:rPr>
              <w:t xml:space="preserve">  &lt;groupId&gt;org.camunda.bpm.springboot&lt;/groupId&gt;</w:t>
            </w:r>
          </w:p>
          <w:p>
            <w:r>
              <w:rPr>
                <w:rFonts w:ascii="Courier New" w:cs="Courier New" w:eastAsia="Courier New" w:hAnsi="Courier New"/>
                <w:color w:val="FFFFFF"/>
                <w:sz w:val="18"/>
                <w:szCs w:val="18"/>
              </w:rPr>
              <w:t xml:space="preserve">  &lt;artifactId&gt;camunda-bpm-spring-boot-starter-webapp&lt;/artifactId&gt;</w:t>
            </w:r>
          </w:p>
          <w:p>
            <w:r>
              <w:rPr>
                <w:rFonts w:ascii="Courier New" w:cs="Courier New" w:eastAsia="Courier New" w:hAnsi="Courier New"/>
                <w:color w:val="FFFFFF"/>
                <w:sz w:val="18"/>
                <w:szCs w:val="18"/>
              </w:rPr>
              <w:t xml:space="preserve">  &lt;version&gt;7.21.0&lt;/version&gt;</w:t>
            </w:r>
          </w:p>
          <w:p>
            <w:r>
              <w:rPr>
                <w:rFonts w:ascii="Courier New" w:cs="Courier New" w:eastAsia="Courier New" w:hAnsi="Courier New"/>
                <w:color w:val="A8FF60"/>
                <w:sz w:val="18"/>
                <w:szCs w:val="18"/>
              </w:rPr>
              <w:t xml:space="preserve">&lt;/dependency&gt;</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&lt;!-- Alfresco REST client --&gt;</w:t>
            </w:r>
          </w:p>
          <w:p>
            <w:r>
              <w:rPr>
                <w:rFonts w:ascii="Courier New" w:cs="Courier New" w:eastAsia="Courier New" w:hAnsi="Courier New"/>
                <w:color w:val="A8FF60"/>
                <w:sz w:val="18"/>
                <w:szCs w:val="18"/>
              </w:rPr>
              <w:t xml:space="preserve">&lt;dependency&gt;</w:t>
            </w:r>
          </w:p>
          <w:p>
            <w:r>
              <w:rPr>
                <w:rFonts w:ascii="Courier New" w:cs="Courier New" w:eastAsia="Courier New" w:hAnsi="Courier New"/>
                <w:color w:val="FFFFFF"/>
                <w:sz w:val="18"/>
                <w:szCs w:val="18"/>
              </w:rPr>
              <w:t xml:space="preserve">  &lt;groupId&gt;org.apache.chemistry.opencmis&lt;/groupId&gt;</w:t>
            </w:r>
          </w:p>
          <w:p>
            <w:r>
              <w:rPr>
                <w:rFonts w:ascii="Courier New" w:cs="Courier New" w:eastAsia="Courier New" w:hAnsi="Courier New"/>
                <w:color w:val="FFFFFF"/>
                <w:sz w:val="18"/>
                <w:szCs w:val="18"/>
              </w:rPr>
              <w:t xml:space="preserve">  &lt;artifactId&gt;chemistry-opencmis-client-impl&lt;/artifactId&gt;</w:t>
            </w:r>
          </w:p>
          <w:p>
            <w:r>
              <w:rPr>
                <w:rFonts w:ascii="Courier New" w:cs="Courier New" w:eastAsia="Courier New" w:hAnsi="Courier New"/>
                <w:color w:val="FFFFFF"/>
                <w:sz w:val="18"/>
                <w:szCs w:val="18"/>
              </w:rPr>
              <w:t xml:space="preserve">  &lt;version&gt;1.1.0&lt;/version&gt;</w:t>
            </w:r>
          </w:p>
          <w:p>
            <w:r>
              <w:rPr>
                <w:rFonts w:ascii="Courier New" w:cs="Courier New" w:eastAsia="Courier New" w:hAnsi="Courier New"/>
                <w:color w:val="A8FF60"/>
                <w:sz w:val="18"/>
                <w:szCs w:val="18"/>
              </w:rPr>
              <w:t xml:space="preserve">&lt;/dependency&gt;</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&lt;!-- Apache PDFBox per estrazione testo --&gt;</w:t>
            </w:r>
          </w:p>
          <w:p>
            <w:r>
              <w:rPr>
                <w:rFonts w:ascii="Courier New" w:cs="Courier New" w:eastAsia="Courier New" w:hAnsi="Courier New"/>
                <w:color w:val="A8FF60"/>
                <w:sz w:val="18"/>
                <w:szCs w:val="18"/>
              </w:rPr>
              <w:t xml:space="preserve">&lt;dependency&gt;</w:t>
            </w:r>
          </w:p>
          <w:p>
            <w:r>
              <w:rPr>
                <w:rFonts w:ascii="Courier New" w:cs="Courier New" w:eastAsia="Courier New" w:hAnsi="Courier New"/>
                <w:color w:val="FFFFFF"/>
                <w:sz w:val="18"/>
                <w:szCs w:val="18"/>
              </w:rPr>
              <w:t xml:space="preserve">  &lt;groupId&gt;org.apache.pdfbox&lt;/groupId&gt;</w:t>
            </w:r>
          </w:p>
          <w:p>
            <w:r>
              <w:rPr>
                <w:rFonts w:ascii="Courier New" w:cs="Courier New" w:eastAsia="Courier New" w:hAnsi="Courier New"/>
                <w:color w:val="FFFFFF"/>
                <w:sz w:val="18"/>
                <w:szCs w:val="18"/>
              </w:rPr>
              <w:t xml:space="preserve">  &lt;artifactId&gt;pdfbox&lt;/artifactId&gt;  &lt;version&gt;3.0.1&lt;/version&gt;</w:t>
            </w:r>
          </w:p>
          <w:p>
            <w:r>
              <w:rPr>
                <w:rFonts w:ascii="Courier New" w:cs="Courier New" w:eastAsia="Courier New" w:hAnsi="Courier New"/>
                <w:color w:val="A8FF60"/>
                <w:sz w:val="18"/>
                <w:szCs w:val="18"/>
              </w:rPr>
              <w:t xml:space="preserve">&lt;/dependency&gt;</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5.2 Nuovi servizi da implementare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Classe</w:t>
            </w:r>
          </w:p>
        </w:tc>
        <w:tc>
          <w:tcPr>
            <w:tcW w:type="dxa" w:w="62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Responsabilità</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AlfrescoService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Wrapper CMIS/REST per upload, download, ricerca documenti e gestione metadati in Alfresco</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DocumentoAnalisiService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Pipeline: estrazione testo PDF (PDFBox) + OCR se necessario + chiamata API AI per parsing strutturato. Restituisce BozzaEntità.</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BozzaEntitaService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CRUD per le bozze proposte dall’analisi. Gestisce conferma, rifiuto e modifica manuale.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CamundaProcessService</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Avvio e gestione dei processi BPMN. Wrapper attorno al RuntimeService e TaskService di Camunda.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DocumentoWorkflowListener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Event listener che reagisce al caricamento di un documento e avvia il processo Camunda corrispondente.</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5.3 Nuove entità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Entità</w:t>
            </w:r>
          </w:p>
        </w:tc>
        <w:tc>
          <w:tcPr>
            <w:tcW w:type="dxa" w:w="62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Campi principali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BozzaEntita</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documentoAlfrescoId, tipoEntita (SCADENZA/PRESCRIZIONE/DATO_AMBIENTALE), datiJson, stato (PROPOSTA/CONFERMATA/RIFIUTATA/MODIFICATA), operatoreId, dataCreazione, dataConferma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DocumentoAIA</w:t>
            </w:r>
          </w:p>
        </w:tc>
        <w:tc>
          <w:tcPr>
            <w:tcW w:type="dxa" w:w="62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id, alfrescoNodeId, alfrescoUrl, stabilimento, tipoDocumento, enteEmittente, dataRicezione, statoLavorazione, processoId (Camunda), note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ProcessoInstance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id, processoId, tipoProcesso, stabilimento, documentoId, stato, dataAvvio, dataChiusura, responsabile</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5.4 Nuovi endpoint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4926"/>
      </w:tblGrid>
      <w:tr>
        <w:tc>
          <w:tcPr>
            <w:tcW w:type="dxa" w:w="9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Metodo</w:t>
            </w:r>
          </w:p>
        </w:tc>
        <w:tc>
          <w:tcPr>
            <w:tcW w:type="dxa" w:w="3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Endpoint</w:t>
            </w:r>
          </w:p>
        </w:tc>
        <w:tc>
          <w:tcPr>
            <w:tcW w:type="dxa" w:w="49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Descrizione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/api/documenti/upload-alfresco</w:t>
            </w:r>
          </w:p>
        </w:tc>
        <w:tc>
          <w:tcPr>
            <w:tcW w:type="dxa" w:w="4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Upload documento su Alfresco + avvio analisi asincrona</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/api/documenti/{id}/bozze</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Recupera bozze entità estratte da un documento</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/api/bozze/{id}/conferma</w:t>
            </w:r>
          </w:p>
        </w:tc>
        <w:tc>
          <w:tcPr>
            <w:tcW w:type="dxa" w:w="4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Conferma una bozza e crea l’entità definitiva</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/api/bozze/{id}</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Modifica i dati di una bozza prima della conferma</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/api/bozze/{id}/rifiuta</w:t>
            </w:r>
          </w:p>
        </w:tc>
        <w:tc>
          <w:tcPr>
            <w:tcW w:type="dxa" w:w="4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Rifiuta una bozza proposta</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/api/workflow/task/miei</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Lista task Camunda assegnati all’utente corrente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/api/workflow/task/{id}/completa</w:t>
            </w:r>
          </w:p>
        </w:tc>
        <w:tc>
          <w:tcPr>
            <w:tcW w:type="dxa" w:w="4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Completa un task BPMN con le variabili di output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/api/workflow/processi</w:t>
            </w:r>
          </w:p>
        </w:tc>
        <w:tc>
          <w:tcPr>
            <w:tcW w:type="dxa" w:w="49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Lista istanze di processo attive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/api/alfresco/search</w:t>
            </w:r>
          </w:p>
        </w:tc>
        <w:tc>
          <w:tcPr>
            <w:tcW w:type="dxa" w:w="49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Ricerca full-text documenti in Alfresco tramite Solr</w:t>
            </w:r>
          </w:p>
        </w:tc>
      </w:tr>
    </w:tbl>
    <w:p>
      <w:pPr>
        <w:spacing w:before="0" w:after="160"/>
      </w:pPr>
      <w:r>
        <w:t xml:space="preserve"/>
      </w:r>
    </w:p>
    <w:p>
      <w:pPr>
        <w:pStyle w:val="Heading1"/>
        <w:spacing w:before="300" w:after="120"/>
      </w:pPr>
      <w:r>
        <w:rPr>
          <w:rFonts w:ascii="Arial" w:cs="Arial" w:eastAsia="Arial" w:hAnsi="Arial"/>
          <w:b/>
          <w:bCs/>
          <w:color w:val="1F3864"/>
          <w:sz w:val="36"/>
          <w:szCs w:val="36"/>
        </w:rPr>
        <w:t xml:space="preserve">6. Implementazione Frontend (Angular)</w:t>
      </w:r>
    </w:p>
    <w:p>
      <w:pPr>
        <w:pStyle w:val="Heading2"/>
        <w:spacing w:before="300" w:after="120"/>
      </w:pPr>
      <w:r>
        <w:rPr>
          <w:rFonts w:ascii="Arial" w:cs="Arial" w:eastAsia="Arial" w:hAnsi="Arial"/>
          <w:b/>
          <w:bCs/>
          <w:color w:val="1F3864"/>
          <w:sz w:val="28"/>
          <w:szCs w:val="28"/>
        </w:rPr>
        <w:t xml:space="preserve">6.1 Nuovi moduli Angular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80"/>
              <w:left w:type="dxa" w:w="150"/>
              <w:bottom w:type="dxa" w:w="80"/>
              <w:right w:type="dxa" w:w="150"/>
            </w:tcMar>
          </w:tcPr>
          <w:p>
            <w:r>
              <w:rPr>
                <w:rFonts w:ascii="Arial" w:cs="Arial" w:eastAsia="Arial" w:hAnsi="Arial"/>
                <w:b/>
                <w:bCs/>
                <w:color w:val="FFFFFF"/>
                <w:sz w:val="22"/>
                <w:szCs w:val="22"/>
              </w:rPr>
              <w:t xml:space="preserve">Nuovi componenti da creare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DocumentaleComponent: ricerca, upload e gestione documenti su Alfresco. Mostra anteprima, metadati e storico versioni.</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BozzeRevisoreComponent: elenco bozze da confermare con form di modifica inline. Collegato al documento sorgente.</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WorkflowDashboardComponent: vista dei processi attivi con stato, responsabile e task pendenti.</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TaskListComponent: elenco task BPMN assegnati all’utente con form di completamento (powered by @bpmn-io/form-js).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BpmnViewerComponent: visualizzazione del diagramma BPMN del processo con evidenziazione del task attivo (powered by bpmn-js).</w:t>
            </w:r>
          </w:p>
        </w:tc>
      </w:tr>
      <w:tr>
        <w:tc>
          <w:tcPr>
            <w:tcW w:type="dxa" w:w="9360"/>
            <w:tcBorders>
              <w:top w:val="single" w:color="CCCCCC" w:sz="1"/>
              <w:left w:val="single" w:color="CCCCCC" w:sz="1"/>
              <w:bottom w:val="single" w:color="CCCCCC" w:sz="1"/>
              <w:right w:val="single" w:color="CCCCCC" w:sz="1"/>
            </w:tcBorders>
            <w:shd w:fill="D5E8F0" w:val="clear"/>
            <w:tcMar>
              <w:top w:type="dxa" w:w="60"/>
              <w:left w:type="dxa" w:w="150"/>
              <w:bottom w:type="dxa" w:w="60"/>
              <w:right w:type="dxa" w:w="150"/>
            </w:tcMar>
          </w:tcPr>
          <w:p>
            <w:r>
              <w:rPr>
                <w:rFonts w:ascii="Arial" w:cs="Arial" w:eastAsia="Arial" w:hAnsi="Arial"/>
                <w:sz w:val="21"/>
                <w:szCs w:val="21"/>
              </w:rPr>
              <w:t xml:space="preserve">•  BpmnModelerComponent (admin): editor visuale BPMN per creare o modificare i processi direttamente dal browser.</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6.2 Integrazione bpmn-js in Angular</w:t>
      </w:r>
    </w:p>
    <w:p>
      <w:pPr>
        <w:spacing w:before="60" w:after="100"/>
        <w:jc w:val="both"/>
      </w:pPr>
      <w:r>
        <w:rPr>
          <w:rFonts w:ascii="Arial" w:cs="Arial" w:eastAsia="Arial" w:hAnsi="Arial"/>
          <w:b w:val="false"/>
          <w:bCs w:val="false"/>
          <w:i w:val="false"/>
          <w:iCs w:val="false"/>
          <w:color w:val="000000"/>
          <w:sz w:val="22"/>
          <w:szCs w:val="22"/>
        </w:rPr>
        <w:t xml:space="preserve">L’integrazione di bpmn-js in un componente Angular standalone è diretta: si inizializza il viewer/modeler nel lifecycle hook ngAfterViewInit passando l’elemento DOM come container. Il componente ascolta gli eventi del viewer (element.click, import.done, ecc.) e li trasforma in output Angular con EventEmitter.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1"/>
              <w:left w:val="single" w:color="FFC000" w:sz="1"/>
              <w:bottom w:val="single" w:color="FFC000" w:sz="1"/>
              <w:right w:val="single" w:color="FFC000" w:sz="1"/>
            </w:tcBorders>
            <w:shd w:fill="FFF2CC" w:val="clear"/>
            <w:tcMar>
              <w:top w:type="dxa" w:w="100"/>
              <w:left w:type="dxa" w:w="180"/>
              <w:bottom w:type="dxa" w:w="100"/>
              <w:right w:type="dxa" w:w="180"/>
            </w:tcMar>
          </w:tcPr>
          <w:p>
            <w:r>
              <w:rPr>
                <w:rFonts w:ascii="Arial" w:cs="Arial" w:eastAsia="Arial" w:hAnsi="Arial"/>
                <w:b/>
                <w:bCs/>
                <w:sz w:val="22"/>
                <w:szCs w:val="22"/>
              </w:rPr>
              <w:t xml:space="preserve">🛠️  Pattern di integrazione bpmn-js + Angular</w:t>
            </w:r>
          </w:p>
          <w:p>
            <w:pPr>
              <w:spacing w:before="60"/>
            </w:pPr>
            <w:r>
              <w:rPr>
                <w:rFonts w:ascii="Arial" w:cs="Arial" w:eastAsia="Arial" w:hAnsi="Arial"/>
                <w:sz w:val="20"/>
                <w:szCs w:val="20"/>
              </w:rPr>
              <w:t xml:space="preserve">1. npm install bpmn-js
2. Creare un wrapper component con un div#bpmn-container
3. In ngAfterViewInit: new BpmnViewer({ container: '#bpmn-container' })
4. Chiamare viewer.importXML(diagramXml) con il BPMN dal backend
5. Highlight del token attivo via viewer.get('canvas').addMarker(taskId, 'highlight')</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6.3 Task form embedded con @bpmn-io/form-js</w:t>
      </w:r>
    </w:p>
    <w:p>
      <w:pPr>
        <w:spacing w:before="60" w:after="100"/>
        <w:jc w:val="both"/>
      </w:pPr>
      <w:r>
        <w:rPr>
          <w:rFonts w:ascii="Arial" w:cs="Arial" w:eastAsia="Arial" w:hAnsi="Arial"/>
          <w:b w:val="false"/>
          <w:bCs w:val="false"/>
          <w:i w:val="false"/>
          <w:iCs w:val="false"/>
          <w:color w:val="000000"/>
          <w:sz w:val="22"/>
          <w:szCs w:val="22"/>
        </w:rPr>
        <w:t xml:space="preserve">Ogni task umano nel processo BPMN ha associato un form schema JSON (definito in Camunda Modeler). Il componente Angular TaskFormComponent usa la libreria @bpmn-io/form-js per renderizzare questo form direttamente nell’interfaccia AIA, senza che l’utente debba accedere alla Camunda Tasklist separata. Al submit, le variabili del form vengono inviate al backend che completa il task Camunda.</w:t>
      </w:r>
    </w:p>
    <w:p>
      <w:pPr>
        <w:spacing w:before="0" w:after="160"/>
      </w:pPr>
      <w:r>
        <w:t xml:space="preserve"/>
      </w:r>
    </w:p>
    <w:p>
      <w:pPr>
        <w:pStyle w:val="Heading1"/>
        <w:spacing w:before="300" w:after="120"/>
      </w:pPr>
      <w:r>
        <w:rPr>
          <w:rFonts w:ascii="Arial" w:cs="Arial" w:eastAsia="Arial" w:hAnsi="Arial"/>
          <w:b/>
          <w:bCs/>
          <w:color w:val="1F3864"/>
          <w:sz w:val="36"/>
          <w:szCs w:val="36"/>
        </w:rPr>
        <w:t xml:space="preserve">7. Infrastruttura e Deployment</w:t>
      </w:r>
    </w:p>
    <w:p>
      <w:pPr>
        <w:pStyle w:val="Heading2"/>
        <w:spacing w:before="300" w:after="120"/>
      </w:pPr>
      <w:r>
        <w:rPr>
          <w:rFonts w:ascii="Arial" w:cs="Arial" w:eastAsia="Arial" w:hAnsi="Arial"/>
          <w:b/>
          <w:bCs/>
          <w:color w:val="1F3864"/>
          <w:sz w:val="28"/>
          <w:szCs w:val="28"/>
        </w:rPr>
        <w:t xml:space="preserve">7.1 Docker Compose</w:t>
      </w:r>
    </w:p>
    <w:p>
      <w:pPr>
        <w:spacing w:before="60" w:after="100"/>
        <w:jc w:val="both"/>
      </w:pPr>
      <w:r>
        <w:rPr>
          <w:rFonts w:ascii="Arial" w:cs="Arial" w:eastAsia="Arial" w:hAnsi="Arial"/>
          <w:b w:val="false"/>
          <w:bCs w:val="false"/>
          <w:i w:val="false"/>
          <w:iCs w:val="false"/>
          <w:color w:val="000000"/>
          <w:sz w:val="22"/>
          <w:szCs w:val="22"/>
        </w:rPr>
        <w:t xml:space="preserve">L’intera soluzione può essere orchestrata con Docker Compose. I servizi aggiuntivi rispetto all’attuale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Servizio Docker</w:t>
            </w:r>
          </w:p>
        </w:tc>
        <w:tc>
          <w:tcPr>
            <w:tcW w:type="dxa" w:w="5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Porta / Note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alfresco/alfresco-content-repository-community</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8081 interno. Usa il PostgreSQL esistente con un database separato 'alfresco'.</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alfresco/alfresco-search-services (Solr)</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8983 interno. Necessario per la ricerca full-text in Alfresco.</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alfresco/alfresco-transform-core-aio</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8090 interno. Gestisce thumbnail, preview PDF, OCR integrato.</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Camunda (embedded)</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Nessun container aggiuntivo. Gira nel processo Spring Boot.</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7.2 Variabili di configurazione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44444" w:sz="1"/>
              <w:left w:val="single" w:color="444444" w:sz="1"/>
              <w:bottom w:val="single" w:color="444444" w:sz="1"/>
              <w:right w:val="single" w:color="444444" w:sz="1"/>
            </w:tcBorders>
            <w:shd w:fill="2B2B2B" w:val="clear"/>
            <w:tcMar>
              <w:top w:type="dxa" w:w="100"/>
              <w:left w:type="dxa" w:w="200"/>
              <w:bottom w:type="dxa" w:w="100"/>
              <w:right w:type="dxa" w:w="200"/>
            </w:tcMar>
          </w:tcPr>
          <w:p>
            <w:r>
              <w:rPr>
                <w:rFonts w:ascii="Courier New" w:cs="Courier New" w:eastAsia="Courier New" w:hAnsi="Courier New"/>
                <w:color w:val="888888"/>
                <w:sz w:val="18"/>
                <w:szCs w:val="18"/>
              </w:rPr>
              <w:t xml:space="preserve"># application-dev.properties (aggiornamenti)</w:t>
            </w:r>
          </w:p>
          <w:p>
            <w:r>
              <w:rPr>
                <w:rFonts w:ascii="Courier New" w:cs="Courier New" w:eastAsia="Courier New" w:hAnsi="Courier New"/>
                <w:color w:val="A8FF60"/>
                <w:sz w:val="18"/>
                <w:szCs w:val="18"/>
              </w:rPr>
              <w:t xml:space="preserve">alfresco.base-url=http://localhost:8081/alfresco</w:t>
            </w:r>
          </w:p>
          <w:p>
            <w:r>
              <w:rPr>
                <w:rFonts w:ascii="Courier New" w:cs="Courier New" w:eastAsia="Courier New" w:hAnsi="Courier New"/>
                <w:color w:val="FFFFFF"/>
                <w:sz w:val="18"/>
                <w:szCs w:val="18"/>
              </w:rPr>
              <w:t xml:space="preserve">alfresco.username=admin</w:t>
            </w:r>
          </w:p>
          <w:p>
            <w:r>
              <w:rPr>
                <w:rFonts w:ascii="Courier New" w:cs="Courier New" w:eastAsia="Courier New" w:hAnsi="Courier New"/>
                <w:color w:val="FFFFFF"/>
                <w:sz w:val="18"/>
                <w:szCs w:val="18"/>
              </w:rPr>
              <w:t xml:space="preserve">alfresco.password=${ALFRESCO_PASSWORD}</w:t>
            </w:r>
          </w:p>
          <w:p>
            <w:r>
              <w:rPr>
                <w:rFonts w:ascii="Courier New" w:cs="Courier New" w:eastAsia="Courier New" w:hAnsi="Courier New"/>
                <w:color w:val="FFFFFF"/>
                <w:sz w:val="18"/>
                <w:szCs w:val="18"/>
              </w:rPr>
              <w:t xml:space="preserve">alfresco.folder.aia=/Sites/aia-documents</w:t>
            </w:r>
          </w:p>
          <w:p>
            <w:r>
              <w:rPr>
                <w:rFonts w:ascii="Courier New" w:cs="Courier New" w:eastAsia="Courier New" w:hAnsi="Courier New"/>
                <w:sz w:val="18"/>
                <w:szCs w:val="18"/>
              </w:rPr>
              <w:t xml:space="preserve"/>
            </w:r>
          </w:p>
          <w:p>
            <w:r>
              <w:rPr>
                <w:rFonts w:ascii="Courier New" w:cs="Courier New" w:eastAsia="Courier New" w:hAnsi="Courier New"/>
                <w:color w:val="A8FF60"/>
                <w:sz w:val="18"/>
                <w:szCs w:val="18"/>
              </w:rPr>
              <w:t xml:space="preserve">camunda.bpm.admin-user.id=admin</w:t>
            </w:r>
          </w:p>
          <w:p>
            <w:r>
              <w:rPr>
                <w:rFonts w:ascii="Courier New" w:cs="Courier New" w:eastAsia="Courier New" w:hAnsi="Courier New"/>
                <w:color w:val="FFFFFF"/>
                <w:sz w:val="18"/>
                <w:szCs w:val="18"/>
              </w:rPr>
              <w:t xml:space="preserve">camunda.bpm.admin-user.password=${CAMUNDA_PASSWORD}</w:t>
            </w:r>
          </w:p>
          <w:p>
            <w:r>
              <w:rPr>
                <w:rFonts w:ascii="Courier New" w:cs="Courier New" w:eastAsia="Courier New" w:hAnsi="Courier New"/>
                <w:color w:val="FFFFFF"/>
                <w:sz w:val="18"/>
                <w:szCs w:val="18"/>
              </w:rPr>
              <w:t xml:space="preserve">camunda.bpm.database.schema-update=true</w:t>
            </w:r>
          </w:p>
          <w:p>
            <w:r>
              <w:rPr>
                <w:rFonts w:ascii="Courier New" w:cs="Courier New" w:eastAsia="Courier New" w:hAnsi="Courier New"/>
                <w:sz w:val="18"/>
                <w:szCs w:val="18"/>
              </w:rPr>
              <w:t xml:space="preserve"/>
            </w:r>
          </w:p>
          <w:p>
            <w:r>
              <w:rPr>
                <w:rFonts w:ascii="Courier New" w:cs="Courier New" w:eastAsia="Courier New" w:hAnsi="Courier New"/>
                <w:color w:val="888888"/>
                <w:sz w:val="18"/>
                <w:szCs w:val="18"/>
              </w:rPr>
              <w:t xml:space="preserve"># Opzionale: API AI per estrazione entità</w:t>
            </w:r>
          </w:p>
          <w:p>
            <w:r>
              <w:rPr>
                <w:rFonts w:ascii="Courier New" w:cs="Courier New" w:eastAsia="Courier New" w:hAnsi="Courier New"/>
                <w:color w:val="A8FF60"/>
                <w:sz w:val="18"/>
                <w:szCs w:val="18"/>
              </w:rPr>
              <w:t xml:space="preserve">ai.extraction.enabled=true</w:t>
            </w:r>
          </w:p>
          <w:p>
            <w:r>
              <w:rPr>
                <w:rFonts w:ascii="Courier New" w:cs="Courier New" w:eastAsia="Courier New" w:hAnsi="Courier New"/>
                <w:color w:val="FFFFFF"/>
                <w:sz w:val="18"/>
                <w:szCs w:val="18"/>
              </w:rPr>
              <w:t xml:space="preserve">ai.extraction.api-key=${ANTHROPIC_API_KEY}</w:t>
            </w:r>
          </w:p>
          <w:p>
            <w:r>
              <w:rPr>
                <w:rFonts w:ascii="Courier New" w:cs="Courier New" w:eastAsia="Courier New" w:hAnsi="Courier New"/>
                <w:color w:val="FFFFFF"/>
                <w:sz w:val="18"/>
                <w:szCs w:val="18"/>
              </w:rPr>
              <w:t xml:space="preserve">ai.extraction.model=claude-haiku-4-5-20251001</w:t>
            </w:r>
          </w:p>
        </w:tc>
      </w:tr>
    </w:tbl>
    <w:p>
      <w:pPr>
        <w:spacing w:before="0" w:after="160"/>
      </w:pPr>
      <w:r>
        <w:t xml:space="preserve"/>
      </w:r>
    </w:p>
    <w:p>
      <w:pPr>
        <w:pStyle w:val="Heading1"/>
        <w:spacing w:before="300" w:after="120"/>
      </w:pPr>
      <w:r>
        <w:rPr>
          <w:rFonts w:ascii="Arial" w:cs="Arial" w:eastAsia="Arial" w:hAnsi="Arial"/>
          <w:b/>
          <w:bCs/>
          <w:color w:val="1F3864"/>
          <w:sz w:val="36"/>
          <w:szCs w:val="36"/>
        </w:rPr>
        <w:t xml:space="preserve">8. Piano Implementativo a Fasi</w:t>
      </w:r>
    </w:p>
    <w:p>
      <w:pPr>
        <w:spacing w:before="60" w:after="100"/>
        <w:jc w:val="both"/>
      </w:pPr>
      <w:r>
        <w:rPr>
          <w:rFonts w:ascii="Arial" w:cs="Arial" w:eastAsia="Arial" w:hAnsi="Arial"/>
          <w:b w:val="false"/>
          <w:bCs w:val="false"/>
          <w:i w:val="false"/>
          <w:iCs w:val="false"/>
          <w:color w:val="000000"/>
          <w:sz w:val="22"/>
          <w:szCs w:val="22"/>
        </w:rPr>
        <w:t xml:space="preserve">Si propone un approccio incrementale in 4 fasi, ognuna con valore autonomo e testabile: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3600"/>
        <w:gridCol w:w="3526"/>
      </w:tblGrid>
      <w:tr>
        <w:tc>
          <w:tcPr>
            <w:tcW w:type="dxa" w:w="1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Fase</w:t>
            </w:r>
          </w:p>
        </w:tc>
        <w:tc>
          <w:tcPr>
            <w:tcW w:type="dxa" w:w="9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Durata</w:t>
            </w:r>
          </w:p>
        </w:tc>
        <w:tc>
          <w:tcPr>
            <w:tcW w:type="dxa" w:w="3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Scope</w:t>
            </w:r>
          </w:p>
        </w:tc>
        <w:tc>
          <w:tcPr>
            <w:tcW w:type="dxa" w:w="35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Valore rilasciato</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Fase 1
Foundation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3-4 sett.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Setup Alfresco + integrazione upload. Spring Boot ↔ Alfresco CMIS. Migrazione documenti esistenti.</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Archivio documentale strutturato con metadati, versioning e ricerca.</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Fase 2
Analisi</w:t>
            </w:r>
          </w:p>
        </w:tc>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3-4 sett.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Pipeline OCR + AI extraction. Entità BozzaEntita. Endpoint revisione bozze. UI Angular di revisione.</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Il sistema propone automaticamente scadenze e prescrizioni dai documenti caricati.</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Fase 3
Workflow</w:t>
            </w:r>
          </w:p>
        </w:tc>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4-5 sett.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Integrazione Camunda embedded. Modello processo BPMN principale. bpmn-js in Angular. TaskList component.</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Workflow tracciato: ogni documento ha un iter di lavorazione visibile e assegnabile.</w:t>
            </w:r>
          </w:p>
        </w:tc>
      </w:tr>
      <w:tr>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Fase 4
Avanzato</w:t>
            </w:r>
          </w:p>
        </w:tc>
        <w:tc>
          <w:tcPr>
            <w:tcW w:type="dxa" w:w="9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3-4 sett.</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Processi secondari (rinnovo AIA, non conformità). BPMN Modeler per admin. Notifiche avanzate. Report.</w:t>
            </w:r>
          </w:p>
        </w:tc>
        <w:tc>
          <w:tcPr>
            <w:tcW w:type="dxa" w:w="35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Sistema completo con automazione dei processi di compliance.</w:t>
            </w:r>
          </w:p>
        </w:tc>
      </w:tr>
    </w:tbl>
    <w:p>
      <w:pPr>
        <w:spacing w:before="0" w:after="160"/>
      </w:pPr>
      <w:r>
        <w:t xml:space="preserve"/>
      </w:r>
    </w:p>
    <w:p>
      <w:pPr>
        <w:pStyle w:val="Heading1"/>
        <w:spacing w:before="300" w:after="120"/>
      </w:pPr>
      <w:r>
        <w:rPr>
          <w:rFonts w:ascii="Arial" w:cs="Arial" w:eastAsia="Arial" w:hAnsi="Arial"/>
          <w:b/>
          <w:bCs/>
          <w:color w:val="1F3864"/>
          <w:sz w:val="36"/>
          <w:szCs w:val="36"/>
        </w:rPr>
        <w:t xml:space="preserve">9. Analisi di Fattibilità</w:t>
      </w:r>
    </w:p>
    <w:p>
      <w:pPr>
        <w:pStyle w:val="Heading2"/>
        <w:spacing w:before="300" w:after="120"/>
      </w:pPr>
      <w:r>
        <w:rPr>
          <w:rFonts w:ascii="Arial" w:cs="Arial" w:eastAsia="Arial" w:hAnsi="Arial"/>
          <w:b/>
          <w:bCs/>
          <w:color w:val="1F3864"/>
          <w:sz w:val="28"/>
          <w:szCs w:val="28"/>
        </w:rPr>
        <w:t xml:space="preserve">9.1 Fattibilità tecnica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c>
          <w:tcPr>
            <w:tcW w:type="dxa" w:w="3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Aspetto</w:t>
            </w:r>
          </w:p>
        </w:tc>
        <w:tc>
          <w:tcPr>
            <w:tcW w:type="dxa" w:w="14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Valutazione</w:t>
            </w:r>
          </w:p>
        </w:tc>
        <w:tc>
          <w:tcPr>
            <w:tcW w:type="dxa" w:w="46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Integrazione Spring Boot ↔ Camunda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Alta</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Spring Boot Starter ufficiale Camunda. Documentazione eccellente.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Integrazione Spring Boot ↔ Alfresco</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Alta</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API REST e CMIS mature. Usate in produzione in migliaia di progetti.</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bpmn-js in Angular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Alta</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Libreria npm standard. Esempi Angular disponibili su GitHub.</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OCR su documenti scansionati</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Media</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Qualità dipende dalla scansione. Alfresco Transform Service include Tesseract.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AI extraction entità</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Alta</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Claude API restituisce JSON strutturato con alta accuratezza su testi legali italiani.</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Migrazione documenti esistenti</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Media</w:t>
            </w:r>
          </w:p>
        </w:tc>
        <w:tc>
          <w:tcPr>
            <w:tcW w:type="dxa" w:w="46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Script di migrazione da implementare. Nessuna perdita dati prevista.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Compatibilità Java 21 (progetto)</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Alta</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Camunda 7.21 supporta Java 21. Alfresco gira in container proprio.</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9.2 Rischi e mitigazioni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026"/>
      </w:tblGrid>
      <w:tr>
        <w:tc>
          <w:tcPr>
            <w:tcW w:type="dxa" w:w="26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Rischio</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Probabilità</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Impatto</w:t>
            </w:r>
          </w:p>
        </w:tc>
        <w:tc>
          <w:tcPr>
            <w:tcW w:type="dxa" w:w="4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Mitigazione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Alfresco pesante da gestire operativamente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Alto</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Monitoraggio con Prometheus/Grafana. Health check automatici. Documentare procedure di riavvio.</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OCR di bassa qualità su scansioni vecchie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Alta</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Medio</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Fallback a inserimento manuale. Indicatore di qualità OCR mostrato all’utente.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Curva di apprendimento BPMN per il team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Medio</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Fornire processi preconfigurati. BPMN Modeler disponibile solo per admin.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Camunda 7 EOL nel 2025</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Certa</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Basso</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EOL solo per support commerciale. Community Edition rimane disponibile. Path di migrazione a Camunda 8 documentato.</w:t>
            </w:r>
          </w:p>
        </w:tc>
      </w:tr>
    </w:tbl>
    <w:p>
      <w:pPr>
        <w:spacing w:before="0" w:after="160"/>
      </w:pPr>
      <w:r>
        <w:t xml:space="preserve"/>
      </w:r>
    </w:p>
    <w:p>
      <w:pPr>
        <w:pStyle w:val="Heading1"/>
        <w:spacing w:before="300" w:after="120"/>
      </w:pPr>
      <w:r>
        <w:rPr>
          <w:rFonts w:ascii="Arial" w:cs="Arial" w:eastAsia="Arial" w:hAnsi="Arial"/>
          <w:b/>
          <w:bCs/>
          <w:color w:val="1F3864"/>
          <w:sz w:val="36"/>
          <w:szCs w:val="36"/>
        </w:rPr>
        <w:t xml:space="preserve">10. Stima Costi e Tempi</w:t>
      </w:r>
    </w:p>
    <w:p>
      <w:pPr>
        <w:pStyle w:val="Heading2"/>
        <w:spacing w:before="300" w:after="120"/>
      </w:pPr>
      <w:r>
        <w:rPr>
          <w:rFonts w:ascii="Arial" w:cs="Arial" w:eastAsia="Arial" w:hAnsi="Arial"/>
          <w:b/>
          <w:bCs/>
          <w:color w:val="1F3864"/>
          <w:sz w:val="28"/>
          <w:szCs w:val="28"/>
        </w:rPr>
        <w:t xml:space="preserve">10.1 Costi di sviluppo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Voce</w:t>
            </w:r>
          </w:p>
        </w:tc>
        <w:tc>
          <w:tcPr>
            <w:tcW w:type="dxa" w:w="4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Stima (giorni uomo)</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Fase 1 — Foundation (Alfresco + integrazione)</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15-20 gg</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Fase 2 — Analisi documenti (OCR + AI + BozzaEntita)</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15-20 gg</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Fase 3 — Workflow (Camunda + bpmn-js + Angular)</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20-25 gg</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Fase 4 — Processi avanzati + admin</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15-20 gg</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Testing, documentazione e deploy</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10-15 gg</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c>
          <w:tcPr>
            <w:tcW w:type="dxa" w:w="4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TOTALE stimato</w:t>
            </w:r>
          </w:p>
        </w:tc>
        <w:tc>
          <w:tcPr>
            <w:tcW w:type="dxa" w:w="4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75-100 giorni uomo</w:t>
            </w:r>
          </w:p>
        </w:tc>
      </w:tr>
    </w:tbl>
    <w:p>
      <w:pPr>
        <w:spacing w:before="0" w:after="80"/>
      </w:pPr>
      <w:r>
        <w:t xml:space="preserve"/>
      </w:r>
    </w:p>
    <w:p>
      <w:pPr>
        <w:pStyle w:val="Heading2"/>
        <w:spacing w:before="300" w:after="120"/>
      </w:pPr>
      <w:r>
        <w:rPr>
          <w:rFonts w:ascii="Arial" w:cs="Arial" w:eastAsia="Arial" w:hAnsi="Arial"/>
          <w:b/>
          <w:bCs/>
          <w:color w:val="1F3864"/>
          <w:sz w:val="28"/>
          <w:szCs w:val="28"/>
        </w:rPr>
        <w:t xml:space="preserve">10.2 Costi infrastrutturali (mensili)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Componente</w:t>
            </w:r>
          </w:p>
        </w:tc>
        <w:tc>
          <w:tcPr>
            <w:tcW w:type="dxa" w:w="5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1"/>
                <w:szCs w:val="21"/>
              </w:rPr>
              <w:t xml:space="preserve">Costo</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Alfresco Community Edition</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Gratuito (open source)</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Camunda 7 Community Edition</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Gratuito (open source)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bpmn-js + @bpmn-io/form-js</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Gratuito (open source)</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Server aggiuntivo per Alfresco (cloud)</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~€ 80-150/mese (4 core, 8GB RAM)</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API AI extraction (opzionale, Claude Haiku)</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~€ 5-15/mese (volumi tipici AIA)</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Storage documenti (S3 o equivalente)</w:t>
            </w:r>
          </w:p>
        </w:tc>
        <w:tc>
          <w:tcPr>
            <w:tcW w:type="dxa" w:w="50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sz w:val="20"/>
                <w:szCs w:val="20"/>
              </w:rPr>
              <w:t xml:space="preserve">~€ 10-30/mese (dipende dai volumi)</w:t>
            </w:r>
          </w:p>
        </w:tc>
      </w:tr>
    </w:tbl>
    <w:p>
      <w:pPr>
        <w:spacing w:before="0" w:after="160"/>
      </w:pPr>
      <w:r>
        <w:t xml:space="preserve"/>
      </w:r>
    </w:p>
    <w:p>
      <w:pPr>
        <w:pStyle w:val="Heading1"/>
        <w:spacing w:before="300" w:after="120"/>
      </w:pPr>
      <w:r>
        <w:rPr>
          <w:rFonts w:ascii="Arial" w:cs="Arial" w:eastAsia="Arial" w:hAnsi="Arial"/>
          <w:b/>
          <w:bCs/>
          <w:color w:val="1F3864"/>
          <w:sz w:val="36"/>
          <w:szCs w:val="36"/>
        </w:rPr>
        <w:t xml:space="preserve">11. Conclusioni e Raccomandazioni</w:t>
      </w:r>
    </w:p>
    <w:p>
      <w:pPr>
        <w:spacing w:before="60" w:after="100"/>
        <w:jc w:val="both"/>
      </w:pPr>
      <w:r>
        <w:rPr>
          <w:rFonts w:ascii="Arial" w:cs="Arial" w:eastAsia="Arial" w:hAnsi="Arial"/>
          <w:b w:val="false"/>
          <w:bCs w:val="false"/>
          <w:i w:val="false"/>
          <w:iCs w:val="false"/>
          <w:color w:val="000000"/>
          <w:sz w:val="22"/>
          <w:szCs w:val="22"/>
        </w:rPr>
        <w:t xml:space="preserve">L’integrazione di un DMS e di un engine BPMN nel sistema AIA Management rappresenta un’evoluzione naturale e ad alto valore del progetto esistente. Le tecnologie proposte — Alfresco Community Edition e Camunda 7 con bpmn-js — sono mature, open source, e si integrano direttamente con lo stack Java/Angular già in uso.</w:t>
      </w:r>
    </w:p>
    <w:p>
      <w:pPr>
        <w:spacing w:before="0" w:after="80"/>
      </w:pPr>
      <w:r>
        <w:t xml:space="preserve"/>
      </w:r>
    </w:p>
    <w:p>
      <w:pPr>
        <w:spacing w:before="60" w:after="100"/>
        <w:jc w:val="both"/>
      </w:pPr>
      <w:r>
        <w:rPr>
          <w:rFonts w:ascii="Arial" w:cs="Arial" w:eastAsia="Arial" w:hAnsi="Arial"/>
          <w:b w:val="false"/>
          <w:bCs w:val="false"/>
          <w:i w:val="false"/>
          <w:iCs w:val="false"/>
          <w:color w:val="000000"/>
          <w:sz w:val="22"/>
          <w:szCs w:val="22"/>
        </w:rPr>
        <w:t xml:space="preserve">Il principale elemento di valore è la chiusura del ciclo documentale: un documento che arriva non è più solo un allegato, ma diventa il motore di un processo tracciato che garantisce che nessuna scadenza venga persa e che ogni decisione sia documentata e attribuibile.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
              <w:bottom w:val="single" w:color="375623" w:sz="1"/>
              <w:right w:val="single" w:color="375623" w:sz="1"/>
            </w:tcBorders>
            <w:shd w:fill="E2EFDA" w:val="clear"/>
            <w:tcMar>
              <w:top w:type="dxa" w:w="100"/>
              <w:left w:type="dxa" w:w="180"/>
              <w:bottom w:type="dxa" w:w="100"/>
              <w:right w:type="dxa" w:w="180"/>
            </w:tcMar>
          </w:tcPr>
          <w:p>
            <w:r>
              <w:rPr>
                <w:rFonts w:ascii="Arial" w:cs="Arial" w:eastAsia="Arial" w:hAnsi="Arial"/>
                <w:b/>
                <w:bCs/>
                <w:sz w:val="22"/>
                <w:szCs w:val="22"/>
              </w:rPr>
              <w:t xml:space="preserve">🚀  Prossimi passi raccomandati</w:t>
            </w:r>
          </w:p>
          <w:p>
            <w:pPr>
              <w:spacing w:before="60"/>
            </w:pPr>
            <w:r>
              <w:rPr>
                <w:rFonts w:ascii="Arial" w:cs="Arial" w:eastAsia="Arial" w:hAnsi="Arial"/>
                <w:sz w:val="20"/>
                <w:szCs w:val="20"/>
              </w:rPr>
              <w:t xml:space="preserve">1. Approvazione del documento e definizione delle priorità di fase
2. Setup ambiente di sviluppo con Docker Compose (Alfresco + Solr)
3. Avvio Fase 1: integrazione Alfresco con Spring Boot e test upload/download
4. Disegno del processo BPMN principale con Camunda Modeler (versione desktop, gratuita)
5. Demo della Fase 1 completata prima di procedere alla Fase 2</w:t>
            </w:r>
          </w:p>
        </w:tc>
      </w:tr>
    </w:tbl>
    <w:p>
      <w:pPr>
        <w:spacing w:before="0" w:after="160"/>
      </w:pPr>
      <w:r>
        <w:t xml:space="preserve"/>
      </w:r>
    </w:p>
    <w:p>
      <w:pPr>
        <w:pBdr>
          <w:bottom w:val="single" w:color="2E75B6" w:sz="4"/>
        </w:pBdr>
        <w:spacing w:before="100" w:after="100"/>
      </w:pPr>
      <w:r>
        <w:t xml:space="preserve"/>
      </w:r>
    </w:p>
    <w:p>
      <w:pPr>
        <w:spacing w:before="200"/>
        <w:jc w:val="center"/>
      </w:pPr>
      <w:r>
        <w:rPr>
          <w:rFonts w:ascii="Arial" w:cs="Arial" w:eastAsia="Arial" w:hAnsi="Arial"/>
          <w:i/>
          <w:iCs/>
          <w:color w:val="888888"/>
          <w:sz w:val="18"/>
          <w:szCs w:val="18"/>
        </w:rPr>
        <w:t xml:space="preserve">Documento generato da AIA Management System — Febbraio 2026</w:t>
      </w:r>
    </w:p>
    <w:sectPr>
      <w:head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tabs>
        <w:tab w:val="right" w:pos="9026"/>
      </w:tabs>
      <w:spacing w:after="100"/>
    </w:pPr>
    <w:r>
      <w:rPr>
        <w:rFonts w:ascii="Arial" w:cs="Arial" w:eastAsia="Arial" w:hAnsi="Arial"/>
        <w:color w:val="888888"/>
        <w:sz w:val="18"/>
        <w:szCs w:val="18"/>
      </w:rPr>
      <w:t xml:space="preserve">AIA Management System — Documento Tecnico Implementativo</w:t>
    </w:r>
    <w:r>
      <w:rPr>
        <w:rFonts w:ascii="Arial" w:cs="Arial" w:eastAsia="Arial" w:hAnsi="Arial"/>
        <w:color w:val="888888"/>
        <w:sz w:val="18"/>
        <w:szCs w:val="18"/>
      </w:rPr>
      <w:t xml:space="preserve">	— pag.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2026-02-21T09:33:12.181Z</dcterms:created>
  <dcterms:modified xsi:type="dcterms:W3CDTF">2026-02-21T09:33:12.181Z</dcterms:modified>
</cp:coreProperties>
</file>

<file path=docProps/custom.xml><?xml version="1.0" encoding="utf-8"?>
<Properties xmlns="http://schemas.openxmlformats.org/officeDocument/2006/custom-properties" xmlns:vt="http://schemas.openxmlformats.org/officeDocument/2006/docPropsVTypes"/>
</file>