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53D64"/>
          </w:tcPr>
          <w:p>
            <w:pPr>
              <w:spacing w:after="0"/>
            </w:pPr>
            <w:r>
              <w:rPr>
                <w:b/>
                <w:color w:val="B6D6EF"/>
                <w:sz w:val="15"/>
              </w:rPr>
              <w:t>DEVELOPMENT FEASIBILITY  ·  INVESTMENT COMMITTEE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38"/>
              </w:rPr>
              <w:t>Seasons at Meridian</w:t>
            </w:r>
          </w:p>
          <w:p>
            <w:pPr>
              <w:spacing w:after="40"/>
            </w:pPr>
            <w:r>
              <w:rPr>
                <w:color w:val="CFE0EF"/>
                <w:sz w:val="17"/>
              </w:rPr>
              <w:t>Can anyone build competitive supply in this ring before we sell?</w:t>
              <w:br/>
              <w:t>2700 E Overland Rd, Meridian, ID  ·  360 units  ·  built 2024  ·  August 15,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7F4EC"/>
          </w:tcPr>
          <w:p>
            <w:pPr>
              <w:spacing w:after="40"/>
            </w:pPr>
            <w:r>
              <w:rPr>
                <w:rFonts w:ascii="Georgia" w:hAnsi="Georgia"/>
                <w:b/>
                <w:color w:val="153D64"/>
                <w:sz w:val="19"/>
              </w:rPr>
              <w:t>BOTTOM LINE</w:t>
            </w:r>
          </w:p>
          <w:p>
            <w:pPr>
              <w:spacing w:after="40" w:line="252" w:lineRule="auto"/>
            </w:pPr>
            <w:r>
              <w:rPr>
                <w:b w:val="0"/>
                <w:color w:val="1A2B3C"/>
                <w:sz w:val="18"/>
              </w:rPr>
              <w:t xml:space="preserve">New supply in this ring needs about </w:t>
            </w:r>
            <w:r>
              <w:rPr>
                <w:b/>
                <w:color w:val="153D64"/>
                <w:sz w:val="18"/>
              </w:rPr>
              <w:t>$2,224/unit/month</w:t>
            </w:r>
            <w:r>
              <w:rPr>
                <w:b w:val="0"/>
                <w:color w:val="1A2B3C"/>
                <w:sz w:val="18"/>
              </w:rPr>
              <w:t xml:space="preserve"> of market rent to pencil. We underwrite Year 1 market rent at </w:t>
            </w:r>
            <w:r>
              <w:rPr>
                <w:b/>
                <w:color w:val="153D64"/>
                <w:sz w:val="18"/>
              </w:rPr>
              <w:t>$1,915</w:t>
            </w:r>
            <w:r>
              <w:rPr>
                <w:b w:val="0"/>
                <w:color w:val="1A2B3C"/>
                <w:sz w:val="18"/>
              </w:rPr>
              <w:t xml:space="preserve"> — a 16% gap. Nothing competitive gets built until that closes.</w:t>
            </w:r>
          </w:p>
          <w:p>
            <w:pPr>
              <w:spacing w:after="40" w:line="252" w:lineRule="auto"/>
            </w:pPr>
            <w:r>
              <w:rPr>
                <w:b w:val="0"/>
                <w:color w:val="1A2B3C"/>
                <w:sz w:val="18"/>
              </w:rPr>
              <w:t xml:space="preserve">Under our own rent-growth assumptions the gap </w:t>
            </w:r>
            <w:r>
              <w:rPr>
                <w:b/>
                <w:color w:val="1E6B33"/>
                <w:sz w:val="18"/>
              </w:rPr>
              <w:t>narrows but never closes during the hold</w:t>
            </w:r>
            <w:r>
              <w:rPr>
                <w:b w:val="0"/>
                <w:color w:val="1A2B3C"/>
                <w:sz w:val="18"/>
              </w:rPr>
              <w:t xml:space="preserve">: still 8% short at our October 2031 exit if construction costs keep escalating at the observed +1.7%/yr, and only reaching breakeven </w:t>
            </w:r>
            <w:r>
              <w:rPr>
                <w:b/>
                <w:color w:val="1A2B3C"/>
                <w:sz w:val="18"/>
              </w:rPr>
              <w:t>in the exit year itself</w:t>
            </w:r>
            <w:r>
              <w:rPr>
                <w:b w:val="0"/>
                <w:color w:val="1A2B3C"/>
                <w:sz w:val="18"/>
              </w:rPr>
              <w:t xml:space="preserve"> even if costs stay flat in nominal dollars.</w:t>
            </w:r>
          </w:p>
          <w:p>
            <w:pPr>
              <w:spacing w:after="40" w:line="252" w:lineRule="auto"/>
            </w:pPr>
            <w:r>
              <w:rPr>
                <w:b w:val="0"/>
                <w:color w:val="1A2B3C"/>
                <w:sz w:val="18"/>
              </w:rPr>
              <w:t xml:space="preserve">Add the </w:t>
            </w:r>
            <w:r>
              <w:rPr>
                <w:b/>
                <w:color w:val="153D64"/>
                <w:sz w:val="18"/>
              </w:rPr>
              <w:t>four-year lag</w:t>
            </w:r>
            <w:r>
              <w:rPr>
                <w:b w:val="0"/>
                <w:color w:val="1A2B3C"/>
                <w:sz w:val="18"/>
              </w:rPr>
              <w:t xml:space="preserve"> between "pencils" and "competes" (12–24 months entitlement + 24–30 months construction) and a competitor would have had to be feasible </w:t>
            </w:r>
            <w:r>
              <w:rPr>
                <w:b/>
                <w:color w:val="1A2B3C"/>
                <w:sz w:val="18"/>
              </w:rPr>
              <w:t>today</w:t>
            </w:r>
            <w:r>
              <w:rPr>
                <w:b w:val="0"/>
                <w:color w:val="1A2B3C"/>
                <w:sz w:val="18"/>
              </w:rPr>
              <w:t xml:space="preserve"> to pressure our Year 4–5 rents. It is not: that would require market rents </w:t>
            </w:r>
            <w:r>
              <w:rPr>
                <w:b/>
                <w:color w:val="153D64"/>
                <w:sz w:val="18"/>
              </w:rPr>
              <w:t>18% above our Year 1 underwriting immediately.</w:t>
            </w:r>
          </w:p>
          <w:p>
            <w:pPr>
              <w:spacing w:after="40" w:line="252" w:lineRule="auto"/>
            </w:pPr>
            <w:r>
              <w:rPr>
                <w:b w:val="0"/>
                <w:color w:val="1A2B3C"/>
                <w:sz w:val="18"/>
              </w:rPr>
              <w:t xml:space="preserve">We buy at </w:t>
            </w:r>
            <w:r>
              <w:rPr>
                <w:b/>
                <w:color w:val="153D64"/>
                <w:sz w:val="18"/>
              </w:rPr>
              <w:t>$333,333/unit</w:t>
            </w:r>
            <w:r>
              <w:rPr>
                <w:b w:val="0"/>
                <w:color w:val="1A2B3C"/>
                <w:sz w:val="18"/>
              </w:rPr>
              <w:t xml:space="preserve"> against a $322,530/unit replacement cost — </w:t>
            </w:r>
            <w:r>
              <w:rPr>
                <w:b/>
                <w:color w:val="1A2B3C"/>
                <w:sz w:val="18"/>
              </w:rPr>
              <w:t>+3.3% on price, +5.2% on total basis.</w:t>
            </w:r>
            <w:r>
              <w:rPr>
                <w:b w:val="0"/>
                <w:color w:val="1A2B3C"/>
                <w:sz w:val="18"/>
              </w:rPr>
              <w:t xml:space="preserve"> We are not buying below replacement cost. The thesis is not a discount to cost; it is that the cost itself is unfinanceable at today’s rents.</w:t>
            </w:r>
          </w:p>
          <w:p>
            <w:pPr>
              <w:spacing w:after="40" w:line="252" w:lineRule="auto"/>
            </w:pPr>
            <w:r>
              <w:rPr>
                <w:b w:val="0"/>
                <w:color w:val="1A2B3C"/>
                <w:sz w:val="18"/>
              </w:rPr>
              <w:t xml:space="preserve">The real exposure is not new supply — it is </w:t>
            </w:r>
            <w:r>
              <w:rPr>
                <w:b/>
                <w:color w:val="A61B1B"/>
                <w:sz w:val="18"/>
              </w:rPr>
              <w:t>our own exit</w:t>
            </w:r>
            <w:r>
              <w:rPr>
                <w:b w:val="0"/>
                <w:color w:val="1A2B3C"/>
                <w:sz w:val="18"/>
              </w:rPr>
              <w:t xml:space="preserve">. We underwrite a 7-year-old asset at a 5.25% cap while Quarterra underwrites a 2-year-old asset at 5.50%. Holding our NOI and using Emblem’s cap costs </w:t>
            </w:r>
            <w:r>
              <w:rPr>
                <w:b/>
                <w:color w:val="A61B1B"/>
                <w:sz w:val="18"/>
              </w:rPr>
              <w:t>−$6,470,971 of value and 205 bp of levered IRR</w:t>
            </w:r>
            <w:r>
              <w:rPr>
                <w:b w:val="0"/>
                <w:color w:val="1A2B3C"/>
                <w:sz w:val="18"/>
              </w:rPr>
              <w:t xml:space="preserve"> (11.21% → 9.16%).</w:t>
            </w:r>
          </w:p>
        </w:tc>
      </w:tr>
    </w:tbl>
    <w:p>
      <w:pPr>
        <w:pBdr>
          <w:bottom w:val="single" w:sz="6" w:space="2" w:color="153D64"/>
        </w:pBdr>
        <w:spacing w:before="220" w:after="20"/>
      </w:pPr>
      <w:r>
        <w:rPr>
          <w:rFonts w:ascii="Georgia" w:hAnsi="Georgia"/>
          <w:b/>
          <w:color w:val="B49955"/>
          <w:sz w:val="25"/>
        </w:rPr>
        <w:t xml:space="preserve">1  </w:t>
      </w:r>
      <w:r>
        <w:rPr>
          <w:rFonts w:ascii="Georgia" w:hAnsi="Georgia"/>
          <w:b/>
          <w:color w:val="153D64"/>
          <w:sz w:val="25"/>
        </w:rPr>
        <w:t>The bid in context</w:t>
      </w:r>
    </w:p>
    <w:p>
      <w:pPr>
        <w:spacing w:after="80" w:before="0"/>
      </w:pPr>
      <w:r>
        <w:rPr>
          <w:b w:val="0"/>
          <w:color w:val="1A2B3C"/>
          <w:sz w:val="19"/>
        </w:rPr>
        <w:t xml:space="preserve">We are bidding </w:t>
      </w:r>
      <w:r>
        <w:rPr>
          <w:b/>
          <w:color w:val="153D64"/>
          <w:sz w:val="19"/>
        </w:rPr>
        <w:t>$333,333/unit</w:t>
      </w:r>
      <w:r>
        <w:rPr>
          <w:b w:val="0"/>
          <w:color w:val="1A2B3C"/>
          <w:sz w:val="19"/>
        </w:rPr>
        <w:t xml:space="preserve"> ($120,000,000) against a replacement cost of </w:t>
      </w:r>
      <w:r>
        <w:rPr>
          <w:b/>
          <w:color w:val="153D64"/>
          <w:sz w:val="19"/>
        </w:rPr>
        <w:t>$322,530/unit</w:t>
      </w:r>
      <w:r>
        <w:rPr>
          <w:b w:val="0"/>
          <w:color w:val="1A2B3C"/>
          <w:sz w:val="19"/>
        </w:rPr>
        <w:t xml:space="preserve"> ($116,110,721). That is a premium, not a discount — and it is the right place to start, because it frames what this memo is actually testing. We are not underwriting a below-replacement bargain. We are underwriting the proposition that </w:t>
      </w:r>
      <w:r>
        <w:rPr>
          <w:b/>
          <w:color w:val="1A2B3C"/>
          <w:sz w:val="19"/>
        </w:rPr>
        <w:t>no one can finance that replacement cost at today’s rents</w:t>
      </w:r>
      <w:r>
        <w:rPr>
          <w:b w:val="0"/>
          <w:color w:val="1A2B3C"/>
          <w:sz w:val="19"/>
        </w:rPr>
        <w:t>, and therefore that our competitive set is fixed for the hold period.</w:t>
      </w:r>
    </w:p>
    <w:p>
      <w:pPr>
        <w:spacing w:before="160" w:after="40"/>
      </w:pPr>
      <w:r>
        <w:rPr>
          <w:rFonts w:ascii="Georgia" w:hAnsi="Georgia"/>
          <w:b/>
          <w:color w:val="B49955"/>
          <w:sz w:val="17"/>
        </w:rPr>
        <w:t xml:space="preserve">EXHIBIT A   </w:t>
      </w:r>
      <w:r>
        <w:rPr>
          <w:b/>
          <w:color w:val="153D64"/>
          <w:sz w:val="17"/>
        </w:rPr>
        <w:t>Basis vs. cost to build — we pay a premium to replacement cost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4464"/>
            <w:shd w:val="clear" w:color="auto" w:fill="153D64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>Basis</w:t>
            </w:r>
          </w:p>
        </w:tc>
        <w:tc>
          <w:tcPr>
            <w:tcW w:type="dxa" w:w="1584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$ / unit</w:t>
            </w:r>
          </w:p>
        </w:tc>
        <w:tc>
          <w:tcPr>
            <w:tcW w:type="dxa" w:w="1944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Total</w:t>
            </w:r>
          </w:p>
        </w:tc>
        <w:tc>
          <w:tcPr>
            <w:tcW w:type="dxa" w:w="2232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vs. replacement cost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Subject's actual 2022 development cost</w:t>
            </w:r>
          </w:p>
        </w:tc>
        <w:tc>
          <w:tcPr>
            <w:tcW w:type="dxa" w:w="1584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$284,658</w:t>
            </w:r>
          </w:p>
        </w:tc>
        <w:tc>
          <w:tcPr>
            <w:tcW w:type="dxa" w:w="1944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$102,476,923</w:t>
            </w:r>
          </w:p>
        </w:tc>
        <w:tc>
          <w:tcPr>
            <w:tcW w:type="dxa" w:w="2232"/>
          </w:tcPr>
          <w:p>
            <w:pPr>
              <w:spacing w:after="20" w:before="20"/>
              <w:jc w:val="right"/>
            </w:pPr>
            <w:r>
              <w:rPr>
                <w:b w:val="0"/>
                <w:color w:val="1E6B33"/>
                <w:sz w:val="16"/>
              </w:rPr>
              <w:t>−11.7%</w:t>
            </w:r>
          </w:p>
        </w:tc>
      </w:tr>
      <w:tr>
        <w:trPr>
          <w:cantSplit/>
        </w:trPr>
        <w:tc>
          <w:tcPr>
            <w:tcW w:type="dxa" w:w="4464"/>
            <w:shd w:val="clear" w:color="auto" w:fill="F3EFE1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Replacement cost today (Emblem-anchored)</w:t>
            </w:r>
          </w:p>
        </w:tc>
        <w:tc>
          <w:tcPr>
            <w:tcW w:type="dxa" w:w="1584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/>
                <w:color w:val="1A2B3C"/>
                <w:sz w:val="16"/>
              </w:rPr>
              <w:t>$322,530</w:t>
            </w:r>
          </w:p>
        </w:tc>
        <w:tc>
          <w:tcPr>
            <w:tcW w:type="dxa" w:w="1944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/>
                <w:color w:val="1A2B3C"/>
                <w:sz w:val="16"/>
              </w:rPr>
              <w:t>$116,110,721</w:t>
            </w:r>
          </w:p>
        </w:tc>
        <w:tc>
          <w:tcPr>
            <w:tcW w:type="dxa" w:w="2232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 w:val="0"/>
                <w:color w:val="6F6F7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TMG purchase price</w:t>
            </w:r>
          </w:p>
        </w:tc>
        <w:tc>
          <w:tcPr>
            <w:tcW w:type="dxa" w:w="1584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$333,333</w:t>
            </w:r>
          </w:p>
        </w:tc>
        <w:tc>
          <w:tcPr>
            <w:tcW w:type="dxa" w:w="1944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$120,000,000</w:t>
            </w:r>
          </w:p>
        </w:tc>
        <w:tc>
          <w:tcPr>
            <w:tcW w:type="dxa" w:w="2232"/>
          </w:tcPr>
          <w:p>
            <w:pPr>
              <w:spacing w:after="20" w:before="20"/>
              <w:jc w:val="right"/>
            </w:pPr>
            <w:r>
              <w:rPr>
                <w:b/>
                <w:color w:val="A61B1B"/>
                <w:sz w:val="16"/>
              </w:rPr>
              <w:t>+3.3%</w:t>
            </w:r>
          </w:p>
        </w:tc>
      </w:tr>
      <w:tr>
        <w:trPr>
          <w:cantSplit/>
        </w:trPr>
        <w:tc>
          <w:tcPr>
            <w:tcW w:type="dxa" w:w="4464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TMG total basis (price + closing + capex)</w:t>
            </w:r>
          </w:p>
        </w:tc>
        <w:tc>
          <w:tcPr>
            <w:tcW w:type="dxa" w:w="1584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$339,175</w:t>
            </w:r>
          </w:p>
        </w:tc>
        <w:tc>
          <w:tcPr>
            <w:tcW w:type="dxa" w:w="1944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$122,102,902</w:t>
            </w:r>
          </w:p>
        </w:tc>
        <w:tc>
          <w:tcPr>
            <w:tcW w:type="dxa" w:w="2232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/>
                <w:color w:val="A61B1B"/>
                <w:sz w:val="16"/>
              </w:rPr>
              <w:t>+5.2%</w:t>
            </w:r>
          </w:p>
        </w:tc>
      </w:tr>
    </w:tbl>
    <w:p>
      <w:pPr>
        <w:spacing w:after="40" w:before="40"/>
      </w:pPr>
      <w:r>
        <w:rPr>
          <w:b w:val="0"/>
          <w:i/>
          <w:color w:val="6F6F70"/>
          <w:sz w:val="15"/>
        </w:rPr>
        <w:t>Replacement cost is anchored on the Quarterra Emblem Meridian development budget ($304,530/unit all-in, 55.0% LTC, delivering 2028), adjusted +$14,000/u for the subject’s amenity package, +$6,000/u for the Eagle/Overland land basis and −$2,000/u for scale. Sensible range $315,000–$330,000/unit.</w:t>
      </w:r>
    </w:p>
    <w:p>
      <w:pPr>
        <w:pBdr>
          <w:bottom w:val="single" w:sz="6" w:space="2" w:color="153D64"/>
        </w:pBdr>
        <w:spacing w:before="220" w:after="20"/>
      </w:pPr>
      <w:r>
        <w:rPr>
          <w:rFonts w:ascii="Georgia" w:hAnsi="Georgia"/>
          <w:b/>
          <w:color w:val="B49955"/>
          <w:sz w:val="25"/>
        </w:rPr>
        <w:t xml:space="preserve">2  </w:t>
      </w:r>
      <w:r>
        <w:rPr>
          <w:rFonts w:ascii="Georgia" w:hAnsi="Georgia"/>
          <w:b/>
          <w:color w:val="153D64"/>
          <w:sz w:val="25"/>
        </w:rPr>
        <w:t>Lens 1 — Market feasibility: can anyone build here today?</w:t>
      </w:r>
    </w:p>
    <w:p>
      <w:pPr>
        <w:spacing w:before="140" w:after="40"/>
      </w:pPr>
      <w:r>
        <w:rPr>
          <w:rFonts w:ascii="Georgia" w:hAnsi="Georgia"/>
          <w:b/>
          <w:color w:val="153D64"/>
          <w:sz w:val="20"/>
        </w:rPr>
        <w:t>2.1  Costs plateaued. Capital broke.</w:t>
      </w:r>
    </w:p>
    <w:p>
      <w:pPr>
        <w:spacing w:after="80" w:before="0"/>
      </w:pPr>
      <w:r>
        <w:rPr>
          <w:b w:val="0"/>
          <w:color w:val="1A2B3C"/>
          <w:sz w:val="19"/>
        </w:rPr>
        <w:t xml:space="preserve">The common story — "construction costs keep rising" — is </w:t>
      </w:r>
      <w:r>
        <w:rPr>
          <w:b/>
          <w:color w:val="153D64"/>
          <w:sz w:val="19"/>
        </w:rPr>
        <w:t>not what the data shows</w:t>
      </w:r>
      <w:r>
        <w:rPr>
          <w:b w:val="0"/>
          <w:color w:val="1A2B3C"/>
          <w:sz w:val="19"/>
        </w:rPr>
        <w:t xml:space="preserve">, and getting this right matters because it changes what we watch. Costs roughly doubled between 2014 and 2021 (~+9%/yr), then flattened. Across the 118-loan Boise construction tape, the Seasons-comparable cohort (market-rate, 100+ units, core submarkets, garden/mid-rise) plateaued at ~+1.7%/yr from 2022 to the live 2026 Emblem budget. What broke was </w:t>
      </w:r>
      <w:r>
        <w:rPr>
          <w:b/>
          <w:color w:val="153D64"/>
          <w:sz w:val="19"/>
        </w:rPr>
        <w:t>leverage</w:t>
      </w:r>
      <w:r>
        <w:rPr>
          <w:b w:val="0"/>
          <w:color w:val="1A2B3C"/>
          <w:sz w:val="19"/>
        </w:rPr>
        <w:t xml:space="preserve">: construction LTC fell from ~65% pre-2022 to 55.0% on Emblem’s actual loan. Cost per unit is roughly flat, but </w:t>
      </w:r>
      <w:r>
        <w:rPr>
          <w:b/>
          <w:color w:val="A61B1B"/>
          <w:sz w:val="19"/>
        </w:rPr>
        <w:t>equity per unit is up 38%</w:t>
      </w:r>
      <w:r>
        <w:rPr>
          <w:b w:val="0"/>
          <w:color w:val="1A2B3C"/>
          <w:sz w:val="19"/>
        </w:rPr>
        <w:t>. That is the binding constraint.</w:t>
      </w:r>
    </w:p>
    <w:p>
      <w:pPr>
        <w:spacing w:before="160" w:after="40"/>
      </w:pPr>
      <w:r>
        <w:rPr>
          <w:rFonts w:ascii="Georgia" w:hAnsi="Georgia"/>
          <w:b/>
          <w:color w:val="B49955"/>
          <w:sz w:val="17"/>
        </w:rPr>
        <w:t xml:space="preserve">EXHIBIT B   </w:t>
      </w:r>
      <w:r>
        <w:rPr>
          <w:b/>
          <w:color w:val="153D64"/>
          <w:sz w:val="17"/>
        </w:rPr>
        <w:t>All-in cost per unit by vintage, and the equity break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</w:trPr>
        <w:tc>
          <w:tcPr>
            <w:tcW w:type="dxa" w:w="2088"/>
            <w:shd w:val="clear" w:color="auto" w:fill="153D64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>Vintage</w:t>
            </w:r>
          </w:p>
        </w:tc>
        <w:tc>
          <w:tcPr>
            <w:tcW w:type="dxa" w:w="1944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All-in $ / unit</w:t>
            </w:r>
          </w:p>
        </w:tc>
        <w:tc>
          <w:tcPr>
            <w:tcW w:type="dxa" w:w="1440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2160"/>
            <w:shd w:val="clear" w:color="auto" w:fill="153D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6"/>
              </w:rPr>
              <w:t>Construction LTC</w:t>
            </w:r>
          </w:p>
        </w:tc>
        <w:tc>
          <w:tcPr>
            <w:tcW w:type="dxa" w:w="2088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Equity $ / unit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2012–2016</w:t>
            </w:r>
          </w:p>
        </w:tc>
        <w:tc>
          <w:tcPr>
            <w:tcW w:type="dxa" w:w="1944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$125,874</w:t>
            </w:r>
          </w:p>
        </w:tc>
        <w:tc>
          <w:tcPr>
            <w:tcW w:type="dxa" w:w="1440"/>
          </w:tcPr>
          <w:p>
            <w:pPr>
              <w:spacing w:after="20" w:before="20"/>
              <w:jc w:val="right"/>
            </w:pPr>
            <w:r>
              <w:rPr>
                <w:b w:val="0"/>
                <w:color w:val="6F6F70"/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>
              <w:rPr>
                <w:b w:val="0"/>
                <w:color w:val="1A2B3C"/>
                <w:sz w:val="16"/>
              </w:rPr>
              <w:t>65%</w:t>
            </w:r>
          </w:p>
        </w:tc>
        <w:tc>
          <w:tcPr>
            <w:tcW w:type="dxa" w:w="2088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$44,056</w:t>
            </w:r>
          </w:p>
        </w:tc>
      </w:tr>
      <w:tr>
        <w:trPr>
          <w:cantSplit/>
        </w:trPr>
        <w:tc>
          <w:tcPr>
            <w:tcW w:type="dxa" w:w="2088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2017–2019</w:t>
            </w:r>
          </w:p>
        </w:tc>
        <w:tc>
          <w:tcPr>
            <w:tcW w:type="dxa" w:w="1944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$163,805</w:t>
            </w:r>
          </w:p>
        </w:tc>
        <w:tc>
          <w:tcPr>
            <w:tcW w:type="dxa" w:w="144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A61B1B"/>
                <w:sz w:val="16"/>
              </w:rPr>
              <w:t>+30%</w:t>
            </w:r>
          </w:p>
        </w:tc>
        <w:tc>
          <w:tcPr>
            <w:tcW w:type="dxa" w:w="2160"/>
            <w:shd w:val="clear" w:color="auto" w:fill="EDF2F7"/>
          </w:tcPr>
          <w:p>
            <w:pPr>
              <w:spacing w:after="20" w:before="20"/>
              <w:jc w:val="center"/>
            </w:pPr>
            <w:r>
              <w:rPr>
                <w:b w:val="0"/>
                <w:color w:val="1A2B3C"/>
                <w:sz w:val="16"/>
              </w:rPr>
              <w:t>65%</w:t>
            </w:r>
          </w:p>
        </w:tc>
        <w:tc>
          <w:tcPr>
            <w:tcW w:type="dxa" w:w="2088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$57,332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2020–2021</w:t>
            </w:r>
          </w:p>
        </w:tc>
        <w:tc>
          <w:tcPr>
            <w:tcW w:type="dxa" w:w="1944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$272,510</w:t>
            </w:r>
          </w:p>
        </w:tc>
        <w:tc>
          <w:tcPr>
            <w:tcW w:type="dxa" w:w="1440"/>
          </w:tcPr>
          <w:p>
            <w:pPr>
              <w:spacing w:after="20" w:before="20"/>
              <w:jc w:val="right"/>
            </w:pPr>
            <w:r>
              <w:rPr>
                <w:b w:val="0"/>
                <w:color w:val="A61B1B"/>
                <w:sz w:val="16"/>
              </w:rPr>
              <w:t>+66%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>
              <w:rPr>
                <w:b w:val="0"/>
                <w:color w:val="1A2B3C"/>
                <w:sz w:val="16"/>
              </w:rPr>
              <w:t>65%</w:t>
            </w:r>
          </w:p>
        </w:tc>
        <w:tc>
          <w:tcPr>
            <w:tcW w:type="dxa" w:w="2088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$95,378</w:t>
            </w:r>
          </w:p>
        </w:tc>
      </w:tr>
      <w:tr>
        <w:trPr>
          <w:cantSplit/>
        </w:trPr>
        <w:tc>
          <w:tcPr>
            <w:tcW w:type="dxa" w:w="2088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2022</w:t>
            </w:r>
          </w:p>
        </w:tc>
        <w:tc>
          <w:tcPr>
            <w:tcW w:type="dxa" w:w="1944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$291,375</w:t>
            </w:r>
          </w:p>
        </w:tc>
        <w:tc>
          <w:tcPr>
            <w:tcW w:type="dxa" w:w="144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A61B1B"/>
                <w:sz w:val="16"/>
              </w:rPr>
              <w:t>+7%</w:t>
            </w:r>
          </w:p>
        </w:tc>
        <w:tc>
          <w:tcPr>
            <w:tcW w:type="dxa" w:w="2160"/>
            <w:shd w:val="clear" w:color="auto" w:fill="EDF2F7"/>
          </w:tcPr>
          <w:p>
            <w:pPr>
              <w:spacing w:after="20" w:before="20"/>
              <w:jc w:val="center"/>
            </w:pPr>
            <w:r>
              <w:rPr>
                <w:b w:val="0"/>
                <w:color w:val="1A2B3C"/>
                <w:sz w:val="16"/>
              </w:rPr>
              <w:t>65%</w:t>
            </w:r>
          </w:p>
        </w:tc>
        <w:tc>
          <w:tcPr>
            <w:tcW w:type="dxa" w:w="2088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/>
                <w:color w:val="153D64"/>
                <w:sz w:val="16"/>
              </w:rPr>
              <w:t>$101,981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2023–2025</w:t>
            </w:r>
          </w:p>
        </w:tc>
        <w:tc>
          <w:tcPr>
            <w:tcW w:type="dxa" w:w="1944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$324,074</w:t>
            </w:r>
          </w:p>
        </w:tc>
        <w:tc>
          <w:tcPr>
            <w:tcW w:type="dxa" w:w="1440"/>
          </w:tcPr>
          <w:p>
            <w:pPr>
              <w:spacing w:after="20" w:before="20"/>
              <w:jc w:val="right"/>
            </w:pPr>
            <w:r>
              <w:rPr>
                <w:b w:val="0"/>
                <w:color w:val="A61B1B"/>
                <w:sz w:val="16"/>
              </w:rPr>
              <w:t>+11%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>
              <w:rPr>
                <w:b w:val="0"/>
                <w:color w:val="1A2B3C"/>
                <w:sz w:val="16"/>
              </w:rPr>
              <w:t>60%</w:t>
            </w:r>
          </w:p>
        </w:tc>
        <w:tc>
          <w:tcPr>
            <w:tcW w:type="dxa" w:w="2088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$129,630</w:t>
            </w:r>
          </w:p>
        </w:tc>
      </w:tr>
      <w:tr>
        <w:trPr>
          <w:cantSplit/>
        </w:trPr>
        <w:tc>
          <w:tcPr>
            <w:tcW w:type="dxa" w:w="2088"/>
            <w:shd w:val="clear" w:color="auto" w:fill="F3EFE1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2026 (Emblem)</w:t>
            </w:r>
          </w:p>
        </w:tc>
        <w:tc>
          <w:tcPr>
            <w:tcW w:type="dxa" w:w="1944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$304,530</w:t>
            </w:r>
          </w:p>
        </w:tc>
        <w:tc>
          <w:tcPr>
            <w:tcW w:type="dxa" w:w="1440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 w:val="0"/>
                <w:color w:val="1E6B33"/>
                <w:sz w:val="16"/>
              </w:rPr>
              <w:t>-6%</w:t>
            </w:r>
          </w:p>
        </w:tc>
        <w:tc>
          <w:tcPr>
            <w:tcW w:type="dxa" w:w="2160"/>
            <w:shd w:val="clear" w:color="auto" w:fill="F3EFE1"/>
          </w:tcPr>
          <w:p>
            <w:pPr>
              <w:spacing w:after="20" w:before="20"/>
              <w:jc w:val="center"/>
            </w:pPr>
            <w:r>
              <w:rPr>
                <w:b w:val="0"/>
                <w:color w:val="1A2B3C"/>
                <w:sz w:val="16"/>
              </w:rPr>
              <w:t>55%</w:t>
            </w:r>
          </w:p>
        </w:tc>
        <w:tc>
          <w:tcPr>
            <w:tcW w:type="dxa" w:w="2088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/>
                <w:color w:val="153D64"/>
                <w:sz w:val="16"/>
              </w:rPr>
              <w:t>$137,038</w:t>
            </w:r>
          </w:p>
        </w:tc>
      </w:tr>
    </w:tbl>
    <w:p>
      <w:pPr>
        <w:spacing w:after="40" w:before="40"/>
      </w:pPr>
      <w:r>
        <w:rPr>
          <w:b w:val="0"/>
          <w:i/>
          <w:color w:val="6F6F70"/>
          <w:sz w:val="15"/>
        </w:rPr>
        <w:t>Derived from the Yardi Boise construction-loan tape (118 loans) grossed to all-in cost at the vintage LTC, screened to Seasons-comparable product; 2026 is Quarterra’s actual Emblem Meridian budget. On essentially flat cost, equity per unit rises +34% against the 2022 cohort median ($101,981 → $137,038) and +38% against the subject’s own 2022 development basis ($99,630 → $137,038).</w:t>
      </w:r>
    </w:p>
    <w:p>
      <w:pPr>
        <w:spacing w:after="80" w:before="0"/>
      </w:pPr>
      <w:r>
        <w:rPr>
          <w:b w:val="0"/>
          <w:color w:val="1A2B3C"/>
          <w:sz w:val="19"/>
        </w:rPr>
        <w:t xml:space="preserve">The lending market confirms it. Ring construction originations ran </w:t>
      </w:r>
      <w:r>
        <w:rPr>
          <w:b/>
          <w:color w:val="153D64"/>
          <w:sz w:val="19"/>
        </w:rPr>
        <w:t>5 loans in 2022, then 0 in 2023, 1 in 2024, 2 in 2025 and 0 year-to-date in 2026</w:t>
      </w:r>
      <w:r>
        <w:rPr>
          <w:b w:val="0"/>
          <w:color w:val="1A2B3C"/>
          <w:sz w:val="19"/>
        </w:rPr>
        <w:t xml:space="preserve"> — total volume down 82% from the 2022 peak. There is no financing market for this product at this basis.</w:t>
      </w:r>
    </w:p>
    <w:p>
      <w:pPr>
        <w:spacing w:before="140" w:after="40"/>
      </w:pPr>
      <w:r>
        <w:rPr>
          <w:rFonts w:ascii="Georgia" w:hAnsi="Georgia"/>
          <w:b/>
          <w:color w:val="153D64"/>
          <w:sz w:val="20"/>
        </w:rPr>
        <w:t>2.2  What rent new supply actually requires</w:t>
      </w:r>
    </w:p>
    <w:p>
      <w:pPr>
        <w:spacing w:after="80" w:before="0"/>
      </w:pPr>
      <w:r>
        <w:rPr>
          <w:b w:val="0"/>
          <w:color w:val="1A2B3C"/>
          <w:sz w:val="19"/>
        </w:rPr>
        <w:t xml:space="preserve">Quarterra’s Emblem Meridian book advertises a $2,069/unit/month market rent at a 6.65–6.80% yield on cost. That rent is only achievable because the proforma carries $350.59/unit/month of ancillary income — </w:t>
      </w:r>
      <w:r>
        <w:rPr>
          <w:b/>
          <w:color w:val="A61B1B"/>
          <w:sz w:val="19"/>
        </w:rPr>
        <w:t>83% more than the subject actually collects</w:t>
      </w:r>
      <w:r>
        <w:rPr>
          <w:b w:val="0"/>
          <w:color w:val="1A2B3C"/>
          <w:sz w:val="19"/>
        </w:rPr>
        <w:t xml:space="preserve"> ($191.94). The single largest item is $108/month of managed WiFi billed gross, with the offsetting ISP cost buried in utilities. Normalizing the ancillary stack to what this submarket demonstrably supports, and correcting an assessed-value ramp that lags construction by ~$212k across lease-up, the required </w:t>
      </w:r>
      <w:r>
        <w:rPr>
          <w:b/>
          <w:color w:val="1A2B3C"/>
          <w:sz w:val="19"/>
        </w:rPr>
        <w:t>market</w:t>
      </w:r>
      <w:r>
        <w:rPr>
          <w:b w:val="0"/>
          <w:color w:val="1A2B3C"/>
          <w:sz w:val="19"/>
        </w:rPr>
        <w:t xml:space="preserve"> rent rises to </w:t>
      </w:r>
      <w:r>
        <w:rPr>
          <w:b/>
          <w:color w:val="153D64"/>
          <w:sz w:val="19"/>
        </w:rPr>
        <w:t>$2,224/unit/month</w:t>
      </w:r>
      <w:r>
        <w:rPr>
          <w:b w:val="0"/>
          <w:color w:val="1A2B3C"/>
          <w:sz w:val="19"/>
        </w:rPr>
        <w:t xml:space="preserve"> in 2026 dollars. Their expense, insurance and tax-rate assumptions are defensible-to-conservative; the aggression is entirely on the revenue line.</w:t>
      </w:r>
    </w:p>
    <w:p>
      <w:pPr>
        <w:spacing w:before="160" w:after="40"/>
      </w:pPr>
      <w:r>
        <w:rPr>
          <w:rFonts w:ascii="Georgia" w:hAnsi="Georgia"/>
          <w:b/>
          <w:color w:val="B49955"/>
          <w:sz w:val="17"/>
        </w:rPr>
        <w:t xml:space="preserve">EXHIBIT C   </w:t>
      </w:r>
      <w:r>
        <w:rPr>
          <w:b/>
          <w:color w:val="153D64"/>
          <w:sz w:val="17"/>
        </w:rPr>
        <w:t>Bridge from Emblem’s advertised rent to the rent new supply really needs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3384"/>
            <w:shd w:val="clear" w:color="auto" w:fill="153D64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656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Ancillary $/u/mo</w:t>
            </w:r>
          </w:p>
        </w:tc>
        <w:tc>
          <w:tcPr>
            <w:tcW w:type="dxa" w:w="2232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Required base market rent</w:t>
            </w:r>
          </w:p>
        </w:tc>
        <w:tc>
          <w:tcPr>
            <w:tcW w:type="dxa" w:w="2952"/>
            <w:shd w:val="clear" w:color="auto" w:fill="153D64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>Comment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Emblem, as advertised (2026 $)</w:t>
            </w:r>
          </w:p>
        </w:tc>
        <w:tc>
          <w:tcPr>
            <w:tcW w:type="dxa" w:w="1656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350.59</w:t>
            </w:r>
          </w:p>
        </w:tc>
        <w:tc>
          <w:tcPr>
            <w:tcW w:type="dxa" w:w="2232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$2,069</w:t>
            </w:r>
          </w:p>
        </w:tc>
        <w:tc>
          <w:tcPr>
            <w:tcW w:type="dxa" w:w="2952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6.80% YoC on $304,530/u cost</w:t>
            </w:r>
          </w:p>
        </w:tc>
      </w:tr>
      <w:tr>
        <w:trPr>
          <w:cantSplit/>
        </w:trPr>
        <w:tc>
          <w:tcPr>
            <w:tcW w:type="dxa" w:w="3384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Subject’s actual ancillary collection</w:t>
            </w:r>
          </w:p>
        </w:tc>
        <w:tc>
          <w:tcPr>
            <w:tcW w:type="dxa" w:w="1656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191.94</w:t>
            </w:r>
          </w:p>
        </w:tc>
        <w:tc>
          <w:tcPr>
            <w:tcW w:type="dxa" w:w="2232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—</w:t>
            </w:r>
          </w:p>
        </w:tc>
        <w:tc>
          <w:tcPr>
            <w:tcW w:type="dxa" w:w="2952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T12 to 6/30/2026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Normalized defensible ancillary</w:t>
            </w:r>
          </w:p>
        </w:tc>
        <w:tc>
          <w:tcPr>
            <w:tcW w:type="dxa" w:w="1656"/>
          </w:tcPr>
          <w:p>
            <w:pPr>
              <w:spacing w:after="20" w:before="20"/>
              <w:jc w:val="right"/>
            </w:pPr>
            <w:r>
              <w:rPr>
                <w:b/>
                <w:color w:val="153D64"/>
                <w:sz w:val="16"/>
              </w:rPr>
              <w:t>215.50</w:t>
            </w:r>
          </w:p>
        </w:tc>
        <w:tc>
          <w:tcPr>
            <w:tcW w:type="dxa" w:w="2232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—</w:t>
            </w:r>
          </w:p>
        </w:tc>
        <w:tc>
          <w:tcPr>
            <w:tcW w:type="dxa" w:w="2952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garage 45 · RUBS 65 · WiFi 45 net · pet 10.50 · other 50</w:t>
            </w:r>
          </w:p>
        </w:tc>
      </w:tr>
      <w:tr>
        <w:trPr>
          <w:cantSplit/>
        </w:trPr>
        <w:tc>
          <w:tcPr>
            <w:tcW w:type="dxa" w:w="3384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Assessor keeps pace with construction</w:t>
            </w:r>
          </w:p>
        </w:tc>
        <w:tc>
          <w:tcPr>
            <w:tcW w:type="dxa" w:w="1656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—</w:t>
            </w:r>
          </w:p>
        </w:tc>
        <w:tc>
          <w:tcPr>
            <w:tcW w:type="dxa" w:w="2232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—</w:t>
            </w:r>
          </w:p>
        </w:tc>
        <w:tc>
          <w:tcPr>
            <w:tcW w:type="dxa" w:w="2952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−$67,719/yr of deferred tax</w:t>
            </w:r>
          </w:p>
        </w:tc>
      </w:tr>
      <w:tr>
        <w:trPr>
          <w:cantSplit/>
        </w:trPr>
        <w:tc>
          <w:tcPr>
            <w:tcW w:type="dxa" w:w="3384"/>
            <w:shd w:val="clear" w:color="auto" w:fill="F3EFE1"/>
          </w:tcPr>
          <w:p>
            <w:pPr>
              <w:spacing w:after="20" w:before="20"/>
              <w:jc w:val="left"/>
            </w:pPr>
            <w:r>
              <w:rPr>
                <w:b/>
                <w:color w:val="153D64"/>
                <w:sz w:val="16"/>
              </w:rPr>
              <w:t>REQUIRED MARKET RENT</w:t>
            </w:r>
          </w:p>
        </w:tc>
        <w:tc>
          <w:tcPr>
            <w:tcW w:type="dxa" w:w="1656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—</w:t>
            </w:r>
          </w:p>
        </w:tc>
        <w:tc>
          <w:tcPr>
            <w:tcW w:type="dxa" w:w="2232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/>
                <w:color w:val="153D64"/>
                <w:sz w:val="16"/>
              </w:rPr>
              <w:t>$2,224</w:t>
            </w:r>
          </w:p>
        </w:tc>
        <w:tc>
          <w:tcPr>
            <w:tcW w:type="dxa" w:w="2952"/>
            <w:shd w:val="clear" w:color="auto" w:fill="F3EFE1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to hold the same 6.80% yield on cost</w:t>
            </w:r>
          </w:p>
        </w:tc>
      </w:tr>
      <w:tr>
        <w:trPr>
          <w:cantSplit/>
        </w:trPr>
        <w:tc>
          <w:tcPr>
            <w:tcW w:type="dxa" w:w="3384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/>
                <w:color w:val="1A2B3C"/>
                <w:sz w:val="16"/>
              </w:rPr>
              <w:t>Subject Year 1 market rent (UW)</w:t>
            </w:r>
          </w:p>
        </w:tc>
        <w:tc>
          <w:tcPr>
            <w:tcW w:type="dxa" w:w="1656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—</w:t>
            </w:r>
          </w:p>
        </w:tc>
        <w:tc>
          <w:tcPr>
            <w:tcW w:type="dxa" w:w="2232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/>
                <w:color w:val="1A2B3C"/>
                <w:sz w:val="16"/>
              </w:rPr>
              <w:t>$1,915</w:t>
            </w:r>
          </w:p>
        </w:tc>
        <w:tc>
          <w:tcPr>
            <w:tcW w:type="dxa" w:w="2952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HelloData market rent, TMG model</w:t>
            </w:r>
          </w:p>
        </w:tc>
      </w:tr>
      <w:tr>
        <w:trPr>
          <w:cantSplit/>
        </w:trPr>
        <w:tc>
          <w:tcPr>
            <w:tcW w:type="dxa" w:w="3384"/>
            <w:shd w:val="clear" w:color="auto" w:fill="F3EFE1"/>
          </w:tcPr>
          <w:p>
            <w:pPr>
              <w:spacing w:after="20" w:before="20"/>
              <w:jc w:val="left"/>
            </w:pPr>
            <w:r>
              <w:rPr>
                <w:b/>
                <w:color w:val="A61B1B"/>
                <w:sz w:val="16"/>
              </w:rPr>
              <w:t>GAP NEW SUPPLY MUST CLOSE</w:t>
            </w:r>
          </w:p>
        </w:tc>
        <w:tc>
          <w:tcPr>
            <w:tcW w:type="dxa" w:w="1656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—</w:t>
            </w:r>
          </w:p>
        </w:tc>
        <w:tc>
          <w:tcPr>
            <w:tcW w:type="dxa" w:w="2232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/>
                <w:color w:val="A61B1B"/>
                <w:sz w:val="16"/>
              </w:rPr>
              <w:t>+16.1%</w:t>
            </w:r>
          </w:p>
        </w:tc>
        <w:tc>
          <w:tcPr>
            <w:tcW w:type="dxa" w:w="2952"/>
            <w:shd w:val="clear" w:color="auto" w:fill="F3EFE1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market-to-market, not contract rent</w:t>
            </w:r>
          </w:p>
        </w:tc>
      </w:tr>
    </w:tbl>
    <w:p>
      <w:pPr>
        <w:spacing w:after="40" w:before="40"/>
      </w:pPr>
      <w:r>
        <w:rPr>
          <w:b w:val="0"/>
          <w:i/>
          <w:color w:val="6F6F70"/>
          <w:sz w:val="15"/>
        </w:rPr>
        <w:t>Comparison is market rent to market rent, since market rent is what drives a developer’s proforma and is the metric the subject is underwritten on. On a PSF basis: subject $1.93/SF vs. required $2.37/SF.</w:t>
      </w:r>
    </w:p>
    <w:p>
      <w:pPr>
        <w:spacing w:before="140" w:after="40"/>
      </w:pPr>
      <w:r>
        <w:rPr>
          <w:rFonts w:ascii="Georgia" w:hAnsi="Georgia"/>
          <w:b/>
          <w:color w:val="153D64"/>
          <w:sz w:val="20"/>
        </w:rPr>
        <w:t>2.3  The approval gauntlet — and the projects it has killed</w:t>
      </w:r>
    </w:p>
    <w:p>
      <w:pPr>
        <w:spacing w:after="80" w:before="0"/>
      </w:pPr>
      <w:r>
        <w:rPr>
          <w:b w:val="0"/>
          <w:color w:val="1A2B3C"/>
          <w:sz w:val="19"/>
        </w:rPr>
        <w:t xml:space="preserve">Even when a deal pencils, Meridian and Ada County are a hostile venue for multifamily. Our census of the ring found </w:t>
      </w:r>
      <w:r>
        <w:rPr>
          <w:b/>
          <w:color w:val="153D64"/>
          <w:sz w:val="19"/>
        </w:rPr>
        <w:t>20 dead projects and roughly 4,365 units killed between 2015 and 2026</w:t>
      </w:r>
      <w:r>
        <w:rPr>
          <w:b w:val="0"/>
          <w:color w:val="1A2B3C"/>
          <w:sz w:val="19"/>
        </w:rPr>
        <w:t>, of which ~2,731 units have no successor entitlement. The kills accelerate exactly when they matter: 1,095 units in 2022, 999 in 2023, 821 in 2024, 625 in 2025.</w:t>
      </w:r>
    </w:p>
    <w:p>
      <w:pPr>
        <w:spacing w:after="80" w:before="0"/>
      </w:pPr>
      <w:r>
        <w:rPr>
          <w:b w:val="0"/>
          <w:color w:val="1A2B3C"/>
          <w:sz w:val="19"/>
        </w:rPr>
        <w:t xml:space="preserve">The pattern is instructive. Six sites were killed </w:t>
      </w:r>
      <w:r>
        <w:rPr>
          <w:b/>
          <w:color w:val="153D64"/>
          <w:sz w:val="19"/>
        </w:rPr>
        <w:t>more than once</w:t>
      </w:r>
      <w:r>
        <w:rPr>
          <w:b w:val="0"/>
          <w:color w:val="1A2B3C"/>
          <w:sz w:val="19"/>
        </w:rPr>
        <w:t xml:space="preserve"> — Magic View three times, 1475 E Franklin three times, Lake Hazel &amp; Five Mile twice, Civic Block twice, Tanner Creek twice. Council has overridden its own P&amp;Z in both directions. And the subject’s own marketed Phase II — </w:t>
      </w:r>
      <w:r>
        <w:rPr>
          <w:b/>
          <w:color w:val="153D64"/>
          <w:sz w:val="19"/>
        </w:rPr>
        <w:t>"Overland &amp; Wells II," 351 units on the parcel that touches us</w:t>
      </w:r>
      <w:r>
        <w:rPr>
          <w:b w:val="0"/>
          <w:color w:val="1A2B3C"/>
          <w:sz w:val="19"/>
        </w:rPr>
        <w:t xml:space="preserve"> — was denied outright by Meridian City Council on 10/25/2022, with findings citing employment-land loss, failing Overland/Eagle intersections and multifamily over-concentration next to our Phase 1. WinCo still owns it and has marketed it as retail pads since January 2024. </w:t>
      </w:r>
      <w:r>
        <w:rPr>
          <w:b/>
          <w:color w:val="1E6B33"/>
          <w:sz w:val="19"/>
        </w:rPr>
        <w:t>That denial is a precedent that protects our node.</w:t>
      </w:r>
    </w:p>
    <w:p>
      <w:pPr>
        <w:spacing w:before="160" w:after="40"/>
      </w:pPr>
      <w:r>
        <w:rPr>
          <w:rFonts w:ascii="Georgia" w:hAnsi="Georgia"/>
          <w:b/>
          <w:color w:val="B49955"/>
          <w:sz w:val="17"/>
        </w:rPr>
        <w:t xml:space="preserve">EXHIBIT D   </w:t>
      </w:r>
      <w:r>
        <w:rPr>
          <w:b/>
          <w:color w:val="153D64"/>
          <w:sz w:val="17"/>
        </w:rPr>
        <w:t>Why projects died — 20 kill events, 2015–2026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20"/>
            <w:shd w:val="clear" w:color="auto" w:fill="153D64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>Cause</w:t>
            </w:r>
          </w:p>
        </w:tc>
        <w:tc>
          <w:tcPr>
            <w:tcW w:type="dxa" w:w="3816"/>
            <w:shd w:val="clear" w:color="auto" w:fill="153D64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>Representative deals</w:t>
            </w:r>
          </w:p>
        </w:tc>
        <w:tc>
          <w:tcPr>
            <w:tcW w:type="dxa" w:w="1008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Units</w:t>
            </w:r>
          </w:p>
        </w:tc>
        <w:tc>
          <w:tcPr>
            <w:tcW w:type="dxa" w:w="2880"/>
            <w:shd w:val="clear" w:color="auto" w:fill="153D64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>Read-through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Land-use policy / council denial</w:t>
            </w:r>
          </w:p>
        </w:tc>
        <w:tc>
          <w:tcPr>
            <w:tcW w:type="dxa" w:w="3816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Overland &amp; Wells II (351), Tanner Creek (272), Lake Hazel ×2 (248)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~1,150</w:t>
            </w:r>
          </w:p>
        </w:tc>
        <w:tc>
          <w:tcPr>
            <w:tcW w:type="dxa" w:w="2880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Structural. Entitlement risk is real even with staff support.</w:t>
            </w:r>
          </w:p>
        </w:tc>
      </w:tr>
      <w:tr>
        <w:trPr>
          <w:cantSplit/>
        </w:trPr>
        <w:tc>
          <w:tcPr>
            <w:tcW w:type="dxa" w:w="2520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Capital markets / cost</w:t>
            </w:r>
          </w:p>
        </w:tc>
        <w:tc>
          <w:tcPr>
            <w:tcW w:type="dxa" w:w="3816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The Bridge at The Village (549), Civic Block (230), Hummingbird (170)</w:t>
            </w:r>
          </w:p>
        </w:tc>
        <w:tc>
          <w:tcPr>
            <w:tcW w:type="dxa" w:w="1008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~1,500</w:t>
            </w:r>
          </w:p>
        </w:tc>
        <w:tc>
          <w:tcPr>
            <w:tcW w:type="dxa" w:w="2880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Dominant cause post-2022. Confirms the financing break.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Entitlement lapse (2-yr CUP clock)</w:t>
            </w:r>
          </w:p>
        </w:tc>
        <w:tc>
          <w:tcPr>
            <w:tcW w:type="dxa" w:w="3816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The 10 at Meridian (559→516), Andorra (164), Record (472)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~1,200</w:t>
            </w:r>
          </w:p>
        </w:tc>
        <w:tc>
          <w:tcPr>
            <w:tcW w:type="dxa" w:w="2880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Paper entitlements expire quietly. Do not credit them.</w:t>
            </w:r>
          </w:p>
        </w:tc>
      </w:tr>
      <w:tr>
        <w:trPr>
          <w:cantSplit/>
        </w:trPr>
        <w:tc>
          <w:tcPr>
            <w:tcW w:type="dxa" w:w="2520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Converted to another use</w:t>
            </w:r>
          </w:p>
        </w:tc>
        <w:tc>
          <w:tcPr>
            <w:tcW w:type="dxa" w:w="3816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Newkirk (216 → for-sale), Fairview (150 → RV dealer)</w:t>
            </w:r>
          </w:p>
        </w:tc>
        <w:tc>
          <w:tcPr>
            <w:tcW w:type="dxa" w:w="1008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~370</w:t>
            </w:r>
          </w:p>
        </w:tc>
        <w:tc>
          <w:tcPr>
            <w:tcW w:type="dxa" w:w="2880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Land permanently exits the MF pipeline.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Affordable / LIHTC financing collapse</w:t>
            </w:r>
          </w:p>
        </w:tc>
        <w:tc>
          <w:tcPr>
            <w:tcW w:type="dxa" w:w="3816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Centrepoint (239)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~240</w:t>
            </w:r>
          </w:p>
        </w:tc>
        <w:tc>
          <w:tcPr>
            <w:tcW w:type="dxa" w:w="2880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Subsidized supply is not a backstop either.</w:t>
            </w:r>
          </w:p>
        </w:tc>
      </w:tr>
    </w:tbl>
    <w:p>
      <w:pPr>
        <w:spacing w:after="40" w:before="40"/>
      </w:pPr>
      <w:r>
        <w:rPr>
          <w:b w:val="0"/>
          <w:i/>
          <w:color w:val="6F6F70"/>
          <w:sz w:val="15"/>
        </w:rPr>
        <w:t>Full register with file numbers, dates, sources and confidence ratings: research/audit_2026-08/graveyard_register.md and graveyard_report.md.</w:t>
      </w:r>
    </w:p>
    <w:p>
      <w:pPr>
        <w:spacing w:before="140" w:after="40"/>
      </w:pPr>
      <w:r>
        <w:rPr>
          <w:rFonts w:ascii="Georgia" w:hAnsi="Georgia"/>
          <w:b/>
          <w:color w:val="153D64"/>
          <w:sz w:val="20"/>
        </w:rPr>
        <w:t>2.4  What is actually coming</w:t>
      </w:r>
    </w:p>
    <w:p>
      <w:pPr>
        <w:spacing w:after="80" w:before="0"/>
      </w:pPr>
      <w:r>
        <w:rPr>
          <w:b w:val="0"/>
          <w:color w:val="1A2B3C"/>
          <w:sz w:val="19"/>
        </w:rPr>
        <w:t xml:space="preserve">Against 4,494 headline "proposed" units in the ring, our deal-by-deal probability work puts </w:t>
      </w:r>
      <w:r>
        <w:rPr>
          <w:b/>
          <w:color w:val="153D64"/>
          <w:sz w:val="19"/>
        </w:rPr>
        <w:t>1,221 probability-weighted units (27%)</w:t>
      </w:r>
      <w:r>
        <w:rPr>
          <w:b w:val="0"/>
          <w:color w:val="1A2B3C"/>
          <w:sz w:val="19"/>
        </w:rPr>
        <w:t xml:space="preserve"> on the ground by year-end 2031. </w:t>
      </w:r>
      <w:r>
        <w:rPr>
          <w:b/>
          <w:color w:val="A61B1B"/>
          <w:sz w:val="19"/>
        </w:rPr>
        <w:t>Exactly one deal in the ring holds a building permit</w:t>
      </w:r>
      <w:r>
        <w:rPr>
          <w:b w:val="0"/>
          <w:color w:val="1A2B3C"/>
          <w:sz w:val="19"/>
        </w:rPr>
        <w:t xml:space="preserve"> — Outer Banks (516 units, 3.3 miles west), and only 3 of its ~50 buildings are permitted. That single deal carries 34% of the entire weighted total. Everything else is paper.</w:t>
      </w:r>
    </w:p>
    <w:p>
      <w:pPr>
        <w:spacing w:before="160" w:after="40"/>
      </w:pPr>
      <w:r>
        <w:rPr>
          <w:rFonts w:ascii="Georgia" w:hAnsi="Georgia"/>
          <w:b/>
          <w:color w:val="B49955"/>
          <w:sz w:val="17"/>
        </w:rPr>
        <w:t xml:space="preserve">EXHIBIT E   </w:t>
      </w:r>
      <w:r>
        <w:rPr>
          <w:b/>
          <w:color w:val="153D64"/>
          <w:sz w:val="17"/>
        </w:rPr>
        <w:t>Probability-weighted delivery curve vs. the 2022–24 run-rate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936"/>
            <w:shd w:val="clear" w:color="auto" w:fill="153D64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656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Weighted units</w:t>
            </w:r>
          </w:p>
        </w:tc>
        <w:tc>
          <w:tcPr>
            <w:tcW w:type="dxa" w:w="3312"/>
            <w:shd w:val="clear" w:color="auto" w:fill="153D64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6"/>
              </w:rPr>
              <w:t>vs. 2022–24 run-rate (1,000–3,000/yr)</w:t>
            </w:r>
          </w:p>
        </w:tc>
        <w:tc>
          <w:tcPr>
            <w:tcW w:type="dxa" w:w="4320"/>
            <w:shd w:val="clear" w:color="auto" w:fill="153D64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>Contributors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2027</w:t>
            </w:r>
          </w:p>
        </w:tc>
        <w:tc>
          <w:tcPr>
            <w:tcW w:type="dxa" w:w="1656"/>
          </w:tcPr>
          <w:p>
            <w:pPr>
              <w:spacing w:after="20" w:before="20"/>
              <w:jc w:val="right"/>
            </w:pPr>
            <w:r>
              <w:rPr>
                <w:b/>
                <w:color w:val="1E6B33"/>
                <w:sz w:val="16"/>
              </w:rPr>
              <w:t>0</w:t>
            </w:r>
          </w:p>
        </w:tc>
        <w:tc>
          <w:tcPr>
            <w:tcW w:type="dxa" w:w="3312"/>
          </w:tcPr>
          <w:p>
            <w:pPr>
              <w:spacing w:after="20" w:before="20"/>
              <w:jc w:val="center"/>
            </w:pPr>
            <w:r>
              <w:rPr>
                <w:b w:val="0"/>
                <w:color w:val="1A2B3C"/>
                <w:sz w:val="16"/>
              </w:rPr>
              <w:t>no deliveries possible</w:t>
            </w:r>
          </w:p>
        </w:tc>
        <w:tc>
          <w:tcPr>
            <w:tcW w:type="dxa" w:w="4320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None — earliest permit issued 6/2026</w:t>
            </w:r>
          </w:p>
        </w:tc>
      </w:tr>
      <w:tr>
        <w:trPr>
          <w:cantSplit/>
        </w:trPr>
        <w:tc>
          <w:tcPr>
            <w:tcW w:type="dxa" w:w="936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2028</w:t>
            </w:r>
          </w:p>
        </w:tc>
        <w:tc>
          <w:tcPr>
            <w:tcW w:type="dxa" w:w="1656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165</w:t>
            </w:r>
          </w:p>
        </w:tc>
        <w:tc>
          <w:tcPr>
            <w:tcW w:type="dxa" w:w="3312"/>
            <w:shd w:val="clear" w:color="auto" w:fill="EDF2F7"/>
          </w:tcPr>
          <w:p>
            <w:pPr>
              <w:spacing w:after="20" w:before="20"/>
              <w:jc w:val="center"/>
            </w:pPr>
            <w:r>
              <w:rPr>
                <w:b w:val="0"/>
                <w:color w:val="1A2B3C"/>
                <w:sz w:val="16"/>
              </w:rPr>
              <w:t>6–17%</w:t>
            </w:r>
          </w:p>
        </w:tc>
        <w:tc>
          <w:tcPr>
            <w:tcW w:type="dxa" w:w="4320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Outer Banks, first tranche only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2029</w:t>
            </w:r>
          </w:p>
        </w:tc>
        <w:tc>
          <w:tcPr>
            <w:tcW w:type="dxa" w:w="1656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196</w:t>
            </w:r>
          </w:p>
        </w:tc>
        <w:tc>
          <w:tcPr>
            <w:tcW w:type="dxa" w:w="3312"/>
          </w:tcPr>
          <w:p>
            <w:pPr>
              <w:spacing w:after="20" w:before="20"/>
              <w:jc w:val="center"/>
            </w:pPr>
            <w:r>
              <w:rPr>
                <w:b w:val="0"/>
                <w:color w:val="1A2B3C"/>
                <w:sz w:val="16"/>
              </w:rPr>
              <w:t>7–20%</w:t>
            </w:r>
          </w:p>
        </w:tc>
        <w:tc>
          <w:tcPr>
            <w:tcW w:type="dxa" w:w="4320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Outer Banks (145), The Judy (41), Meridian OZ (11)</w:t>
            </w:r>
          </w:p>
        </w:tc>
      </w:tr>
      <w:tr>
        <w:trPr>
          <w:cantSplit/>
        </w:trPr>
        <w:tc>
          <w:tcPr>
            <w:tcW w:type="dxa" w:w="936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2030</w:t>
            </w:r>
          </w:p>
        </w:tc>
        <w:tc>
          <w:tcPr>
            <w:tcW w:type="dxa" w:w="1656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/>
                <w:color w:val="A61B1B"/>
                <w:sz w:val="16"/>
              </w:rPr>
              <w:t>735</w:t>
            </w:r>
          </w:p>
        </w:tc>
        <w:tc>
          <w:tcPr>
            <w:tcW w:type="dxa" w:w="3312"/>
            <w:shd w:val="clear" w:color="auto" w:fill="EDF2F7"/>
          </w:tcPr>
          <w:p>
            <w:pPr>
              <w:spacing w:after="20" w:before="20"/>
              <w:jc w:val="center"/>
            </w:pPr>
            <w:r>
              <w:rPr>
                <w:b w:val="0"/>
                <w:color w:val="1A2B3C"/>
                <w:sz w:val="16"/>
              </w:rPr>
              <w:t>25–74%</w:t>
            </w:r>
          </w:p>
        </w:tc>
        <w:tc>
          <w:tcPr>
            <w:tcW w:type="dxa" w:w="4320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12 deals — none holds a permit today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2031</w:t>
            </w:r>
          </w:p>
        </w:tc>
        <w:tc>
          <w:tcPr>
            <w:tcW w:type="dxa" w:w="1656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125</w:t>
            </w:r>
          </w:p>
        </w:tc>
        <w:tc>
          <w:tcPr>
            <w:tcW w:type="dxa" w:w="3312"/>
          </w:tcPr>
          <w:p>
            <w:pPr>
              <w:spacing w:after="20" w:before="20"/>
              <w:jc w:val="center"/>
            </w:pPr>
            <w:r>
              <w:rPr>
                <w:b w:val="0"/>
                <w:color w:val="1A2B3C"/>
                <w:sz w:val="16"/>
              </w:rPr>
              <w:t>4–13%</w:t>
            </w:r>
          </w:p>
        </w:tc>
        <w:tc>
          <w:tcPr>
            <w:tcW w:type="dxa" w:w="4320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Vanguard (66), Gateway (59)</w:t>
            </w:r>
          </w:p>
        </w:tc>
      </w:tr>
      <w:tr>
        <w:trPr>
          <w:cantSplit/>
        </w:trPr>
        <w:tc>
          <w:tcPr>
            <w:tcW w:type="dxa" w:w="936"/>
            <w:shd w:val="clear" w:color="auto" w:fill="F3EFE1"/>
          </w:tcPr>
          <w:p>
            <w:pPr>
              <w:spacing w:after="20" w:before="20"/>
              <w:jc w:val="left"/>
            </w:pPr>
            <w:r>
              <w:rPr>
                <w:b/>
                <w:color w:val="153D64"/>
                <w:sz w:val="16"/>
              </w:rPr>
              <w:t>5-yr total</w:t>
            </w:r>
          </w:p>
        </w:tc>
        <w:tc>
          <w:tcPr>
            <w:tcW w:type="dxa" w:w="1656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/>
                <w:color w:val="153D64"/>
                <w:sz w:val="16"/>
              </w:rPr>
              <w:t>1,221</w:t>
            </w:r>
          </w:p>
        </w:tc>
        <w:tc>
          <w:tcPr>
            <w:tcW w:type="dxa" w:w="3312"/>
            <w:shd w:val="clear" w:color="auto" w:fill="F3EFE1"/>
          </w:tcPr>
          <w:p>
            <w:pPr>
              <w:spacing w:after="20" w:before="20"/>
              <w:jc w:val="center"/>
            </w:pPr>
            <w:r>
              <w:rPr>
                <w:b/>
                <w:color w:val="1A2B3C"/>
                <w:sz w:val="16"/>
              </w:rPr>
              <w:t>~244 units/yr</w:t>
            </w:r>
          </w:p>
        </w:tc>
        <w:tc>
          <w:tcPr>
            <w:tcW w:type="dxa" w:w="4320"/>
            <w:shd w:val="clear" w:color="auto" w:fill="F3EFE1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27% of the 4,494 proposed</w:t>
            </w:r>
          </w:p>
        </w:tc>
      </w:tr>
    </w:tbl>
    <w:p>
      <w:pPr>
        <w:spacing w:after="40" w:before="40"/>
      </w:pPr>
      <w:r>
        <w:rPr>
          <w:b w:val="0"/>
          <w:i/>
          <w:color w:val="6F6F70"/>
          <w:sz w:val="15"/>
        </w:rPr>
        <w:t>2027–2029 averages 120 weighted units/yr — 4–12% of the 2022–24 run-rate. 2030 is the only year approaching the historical floor and is the least reliable number here: every unit in it comes from a deal with no permit today. Near-term entitlement clocks: The Judy ~9/10/26, Meridian OZ ~10/17/26 and Gateway ~11/19/26 all expire within 90 days with no extension on file; Record and 12548 W Overland have already lapsed; Victory Flats is on a second extension request.</w:t>
      </w:r>
    </w:p>
    <w:p>
      <w:pPr>
        <w:pBdr>
          <w:bottom w:val="single" w:sz="6" w:space="2" w:color="153D64"/>
        </w:pBdr>
        <w:spacing w:before="220" w:after="20"/>
      </w:pPr>
      <w:r>
        <w:rPr>
          <w:rFonts w:ascii="Georgia" w:hAnsi="Georgia"/>
          <w:b/>
          <w:color w:val="B49955"/>
          <w:sz w:val="25"/>
        </w:rPr>
        <w:t xml:space="preserve">3  </w:t>
      </w:r>
      <w:r>
        <w:rPr>
          <w:rFonts w:ascii="Georgia" w:hAnsi="Georgia"/>
          <w:b/>
          <w:color w:val="153D64"/>
          <w:sz w:val="25"/>
        </w:rPr>
        <w:t>Lens 2 — The moat, and exactly when it closes</w:t>
      </w:r>
    </w:p>
    <w:p>
      <w:pPr>
        <w:spacing w:after="80" w:before="0"/>
      </w:pPr>
      <w:r>
        <w:rPr>
          <w:b w:val="0"/>
          <w:color w:val="1A2B3C"/>
          <w:sz w:val="19"/>
        </w:rPr>
        <w:t xml:space="preserve">This is the question that matters for our hold: </w:t>
      </w:r>
      <w:r>
        <w:rPr>
          <w:b/>
          <w:color w:val="153D64"/>
          <w:sz w:val="19"/>
        </w:rPr>
        <w:t>how much rent growth can we capture before new construction pencils again and starts competing with us?</w:t>
      </w:r>
      <w:r>
        <w:rPr>
          <w:b w:val="0"/>
          <w:color w:val="1A2B3C"/>
          <w:sz w:val="19"/>
        </w:rPr>
        <w:t xml:space="preserve"> The moat is self-limiting by construction — the very rent growth that drives our returns is what restores feasibility for a developer. So the analysis is not "is there a moat" but "does it outlast us."</w:t>
      </w:r>
    </w:p>
    <w:p>
      <w:pPr>
        <w:spacing w:before="160" w:after="40"/>
      </w:pPr>
      <w:r>
        <w:rPr>
          <w:rFonts w:ascii="Georgia" w:hAnsi="Georgia"/>
          <w:b/>
          <w:color w:val="B49955"/>
          <w:sz w:val="17"/>
        </w:rPr>
        <w:t xml:space="preserve">EXHIBIT F   </w:t>
      </w:r>
      <w:r>
        <w:rPr>
          <w:b/>
          <w:color w:val="153D64"/>
          <w:sz w:val="17"/>
        </w:rPr>
        <w:t>When does new construction pencil? — subject market rent vs. required rent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cantSplit/>
        </w:trPr>
        <w:tc>
          <w:tcPr>
            <w:tcW w:type="dxa" w:w="1656"/>
            <w:shd w:val="clear" w:color="auto" w:fill="153D64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>Fiscal year</w:t>
            </w:r>
          </w:p>
        </w:tc>
        <w:tc>
          <w:tcPr>
            <w:tcW w:type="dxa" w:w="1800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Subject market rent</w:t>
            </w:r>
          </w:p>
        </w:tc>
        <w:tc>
          <w:tcPr>
            <w:tcW w:type="dxa" w:w="2160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Required rent (costs +1.7%/yr)</w:t>
            </w:r>
          </w:p>
        </w:tc>
        <w:tc>
          <w:tcPr>
            <w:tcW w:type="dxa" w:w="1080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Gap</w:t>
            </w:r>
          </w:p>
        </w:tc>
        <w:tc>
          <w:tcPr>
            <w:tcW w:type="dxa" w:w="1944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Required rent (costs flat)</w:t>
            </w:r>
          </w:p>
        </w:tc>
        <w:tc>
          <w:tcPr>
            <w:tcW w:type="dxa" w:w="1080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Gap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FY2027</w:t>
            </w:r>
          </w:p>
        </w:tc>
        <w:tc>
          <w:tcPr>
            <w:tcW w:type="dxa" w:w="1800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$1,915</w:t>
            </w:r>
          </w:p>
        </w:tc>
        <w:tc>
          <w:tcPr>
            <w:tcW w:type="dxa" w:w="2160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$2,262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>
              <w:rPr>
                <w:b w:val="0"/>
                <w:color w:val="A61B1B"/>
                <w:sz w:val="16"/>
              </w:rPr>
              <w:t>-15.3%</w:t>
            </w:r>
          </w:p>
        </w:tc>
        <w:tc>
          <w:tcPr>
            <w:tcW w:type="dxa" w:w="1944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$2,224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>
              <w:rPr>
                <w:b w:val="0"/>
                <w:color w:val="A61B1B"/>
                <w:sz w:val="16"/>
              </w:rPr>
              <w:t>-13.9%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FY2028</w:t>
            </w:r>
          </w:p>
        </w:tc>
        <w:tc>
          <w:tcPr>
            <w:tcW w:type="dxa" w:w="180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$1,992</w:t>
            </w:r>
          </w:p>
        </w:tc>
        <w:tc>
          <w:tcPr>
            <w:tcW w:type="dxa" w:w="216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$2,300</w:t>
            </w:r>
          </w:p>
        </w:tc>
        <w:tc>
          <w:tcPr>
            <w:tcW w:type="dxa" w:w="108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A61B1B"/>
                <w:sz w:val="16"/>
              </w:rPr>
              <w:t>-13.4%</w:t>
            </w:r>
          </w:p>
        </w:tc>
        <w:tc>
          <w:tcPr>
            <w:tcW w:type="dxa" w:w="1944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$2,224</w:t>
            </w:r>
          </w:p>
        </w:tc>
        <w:tc>
          <w:tcPr>
            <w:tcW w:type="dxa" w:w="108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A61B1B"/>
                <w:sz w:val="16"/>
              </w:rPr>
              <w:t>-10.4%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FY2029</w:t>
            </w:r>
          </w:p>
        </w:tc>
        <w:tc>
          <w:tcPr>
            <w:tcW w:type="dxa" w:w="1800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$2,071</w:t>
            </w:r>
          </w:p>
        </w:tc>
        <w:tc>
          <w:tcPr>
            <w:tcW w:type="dxa" w:w="2160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$2,339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>
              <w:rPr>
                <w:b w:val="0"/>
                <w:color w:val="A61B1B"/>
                <w:sz w:val="16"/>
              </w:rPr>
              <w:t>-11.5%</w:t>
            </w:r>
          </w:p>
        </w:tc>
        <w:tc>
          <w:tcPr>
            <w:tcW w:type="dxa" w:w="1944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$2,224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>
              <w:rPr>
                <w:b w:val="0"/>
                <w:color w:val="A61B1B"/>
                <w:sz w:val="16"/>
              </w:rPr>
              <w:t>-6.9%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FY2030</w:t>
            </w:r>
          </w:p>
        </w:tc>
        <w:tc>
          <w:tcPr>
            <w:tcW w:type="dxa" w:w="180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$2,154</w:t>
            </w:r>
          </w:p>
        </w:tc>
        <w:tc>
          <w:tcPr>
            <w:tcW w:type="dxa" w:w="216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$2,379</w:t>
            </w:r>
          </w:p>
        </w:tc>
        <w:tc>
          <w:tcPr>
            <w:tcW w:type="dxa" w:w="108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A61B1B"/>
                <w:sz w:val="16"/>
              </w:rPr>
              <w:t>-9.5%</w:t>
            </w:r>
          </w:p>
        </w:tc>
        <w:tc>
          <w:tcPr>
            <w:tcW w:type="dxa" w:w="1944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$2,224</w:t>
            </w:r>
          </w:p>
        </w:tc>
        <w:tc>
          <w:tcPr>
            <w:tcW w:type="dxa" w:w="108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A61B1B"/>
                <w:sz w:val="16"/>
              </w:rPr>
              <w:t>-3.1%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EFE1"/>
          </w:tcPr>
          <w:p>
            <w:pPr>
              <w:spacing w:after="20" w:before="20"/>
              <w:jc w:val="left"/>
            </w:pPr>
            <w:r>
              <w:rPr>
                <w:b/>
                <w:color w:val="153D64"/>
                <w:sz w:val="16"/>
              </w:rPr>
              <w:t>FY2031  ◄ EXIT</w:t>
            </w:r>
          </w:p>
        </w:tc>
        <w:tc>
          <w:tcPr>
            <w:tcW w:type="dxa" w:w="1800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/>
                <w:color w:val="1A2B3C"/>
                <w:sz w:val="16"/>
              </w:rPr>
              <w:t>$2,230</w:t>
            </w:r>
          </w:p>
        </w:tc>
        <w:tc>
          <w:tcPr>
            <w:tcW w:type="dxa" w:w="2160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$2,420</w:t>
            </w:r>
          </w:p>
        </w:tc>
        <w:tc>
          <w:tcPr>
            <w:tcW w:type="dxa" w:w="1080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/>
                <w:color w:val="A61B1B"/>
                <w:sz w:val="16"/>
              </w:rPr>
              <w:t>-7.9%</w:t>
            </w:r>
          </w:p>
        </w:tc>
        <w:tc>
          <w:tcPr>
            <w:tcW w:type="dxa" w:w="1944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$2,224</w:t>
            </w:r>
          </w:p>
        </w:tc>
        <w:tc>
          <w:tcPr>
            <w:tcW w:type="dxa" w:w="1080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/>
                <w:color w:val="1E6B33"/>
                <w:sz w:val="16"/>
              </w:rPr>
              <w:t>+0.2%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FY2032</w:t>
            </w:r>
          </w:p>
        </w:tc>
        <w:tc>
          <w:tcPr>
            <w:tcW w:type="dxa" w:w="180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$2,296</w:t>
            </w:r>
          </w:p>
        </w:tc>
        <w:tc>
          <w:tcPr>
            <w:tcW w:type="dxa" w:w="216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$2,461</w:t>
            </w:r>
          </w:p>
        </w:tc>
        <w:tc>
          <w:tcPr>
            <w:tcW w:type="dxa" w:w="108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A61B1B"/>
                <w:sz w:val="16"/>
              </w:rPr>
              <w:t>-6.7%</w:t>
            </w:r>
          </w:p>
        </w:tc>
        <w:tc>
          <w:tcPr>
            <w:tcW w:type="dxa" w:w="1944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$2,224</w:t>
            </w:r>
          </w:p>
        </w:tc>
        <w:tc>
          <w:tcPr>
            <w:tcW w:type="dxa" w:w="108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E6B33"/>
                <w:sz w:val="16"/>
              </w:rPr>
              <w:t>+3.3%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FY2033</w:t>
            </w:r>
          </w:p>
        </w:tc>
        <w:tc>
          <w:tcPr>
            <w:tcW w:type="dxa" w:w="1800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$2,365</w:t>
            </w:r>
          </w:p>
        </w:tc>
        <w:tc>
          <w:tcPr>
            <w:tcW w:type="dxa" w:w="2160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$2,503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>
              <w:rPr>
                <w:b w:val="0"/>
                <w:color w:val="A61B1B"/>
                <w:sz w:val="16"/>
              </w:rPr>
              <w:t>-5.5%</w:t>
            </w:r>
          </w:p>
        </w:tc>
        <w:tc>
          <w:tcPr>
            <w:tcW w:type="dxa" w:w="1944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$2,224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>
              <w:rPr>
                <w:b w:val="0"/>
                <w:color w:val="1E6B33"/>
                <w:sz w:val="16"/>
              </w:rPr>
              <w:t>+6.4%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FY2034</w:t>
            </w:r>
          </w:p>
        </w:tc>
        <w:tc>
          <w:tcPr>
            <w:tcW w:type="dxa" w:w="180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$2,436</w:t>
            </w:r>
          </w:p>
        </w:tc>
        <w:tc>
          <w:tcPr>
            <w:tcW w:type="dxa" w:w="216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$2,545</w:t>
            </w:r>
          </w:p>
        </w:tc>
        <w:tc>
          <w:tcPr>
            <w:tcW w:type="dxa" w:w="108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A61B1B"/>
                <w:sz w:val="16"/>
              </w:rPr>
              <w:t>-4.3%</w:t>
            </w:r>
          </w:p>
        </w:tc>
        <w:tc>
          <w:tcPr>
            <w:tcW w:type="dxa" w:w="1944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$2,224</w:t>
            </w:r>
          </w:p>
        </w:tc>
        <w:tc>
          <w:tcPr>
            <w:tcW w:type="dxa" w:w="1080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E6B33"/>
                <w:sz w:val="16"/>
              </w:rPr>
              <w:t>+9.5%</w:t>
            </w:r>
          </w:p>
        </w:tc>
      </w:tr>
    </w:tbl>
    <w:p>
      <w:pPr>
        <w:spacing w:after="40" w:before="40"/>
      </w:pPr>
      <w:r>
        <w:rPr>
          <w:b w:val="0"/>
          <w:i/>
          <w:color w:val="6F6F70"/>
          <w:sz w:val="15"/>
        </w:rPr>
        <w:t>Subject market rent is the TMG underwriting path (HelloData market rent, +3.1% in Y1 then +4.0/4.0/4.0/3.5% — a 3.8%/yr average). Required rent escalates with construction cost. Two bookends are shown because the cost path is the live variable: the observed 2022–26 escalation of +1.7%/yr, and a flat-nominal-cost case that is deliberately generous to the developer.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7F4EC"/>
          </w:tcPr>
          <w:p>
            <w:pPr>
              <w:spacing w:after="40"/>
            </w:pPr>
            <w:r>
              <w:rPr>
                <w:rFonts w:ascii="Georgia" w:hAnsi="Georgia"/>
                <w:b/>
                <w:color w:val="153D64"/>
                <w:sz w:val="19"/>
              </w:rPr>
              <w:t>READ-THROUGH ON RISK 1 — rent growth vs. the return of supply</w:t>
            </w:r>
          </w:p>
          <w:p>
            <w:pPr>
              <w:spacing w:after="40" w:line="252" w:lineRule="auto"/>
            </w:pPr>
            <w:r>
              <w:rPr>
                <w:b/>
                <w:color w:val="1E6B33"/>
                <w:sz w:val="18"/>
              </w:rPr>
              <w:t xml:space="preserve">The gap never closes on our watch. </w:t>
            </w:r>
            <w:r>
              <w:rPr>
                <w:b w:val="0"/>
                <w:color w:val="1A2B3C"/>
                <w:sz w:val="18"/>
              </w:rPr>
              <w:t xml:space="preserve">With costs escalating at the observed +1.7%/yr, the subject's market rent is still 8% short of feasibility at our October 2031 exit, 4% short in FY2034 and 2% short even in FY2036. In the flat-cost case — generous to the developer — feasibility is restored in </w:t>
            </w:r>
            <w:r>
              <w:rPr>
                <w:b/>
                <w:color w:val="153D64"/>
                <w:sz w:val="18"/>
              </w:rPr>
              <w:t>FY2031, the exit year itself</w:t>
            </w:r>
            <w:r>
              <w:rPr>
                <w:b w:val="0"/>
                <w:color w:val="1A2B3C"/>
                <w:sz w:val="18"/>
              </w:rPr>
              <w:t>. Under neither case does a competitor pencil early enough to build and lease against us.</w:t>
            </w:r>
          </w:p>
          <w:p>
            <w:pPr>
              <w:spacing w:after="40" w:line="252" w:lineRule="auto"/>
            </w:pPr>
            <w:r>
              <w:rPr>
                <w:b/>
                <w:color w:val="153D64"/>
                <w:sz w:val="18"/>
              </w:rPr>
              <w:t xml:space="preserve">The four-year lag is the second line of defense. </w:t>
            </w:r>
            <w:r>
              <w:rPr>
                <w:b w:val="0"/>
                <w:color w:val="1A2B3C"/>
                <w:sz w:val="18"/>
              </w:rPr>
              <w:t xml:space="preserve">A deal that becomes feasible must still clear entitlement (12–24 months in Meridian, and that assumes it survives — see Exhibit D) and construction (24–30 months for garden). To suppress our Year 4–5 rents, a competitor had to be feasible in FY2027. That requires market rents </w:t>
            </w:r>
            <w:r>
              <w:rPr>
                <w:b/>
                <w:color w:val="153D64"/>
                <w:sz w:val="18"/>
              </w:rPr>
              <w:t>18% above our Year 1 underwriting immediately</w:t>
            </w:r>
            <w:r>
              <w:rPr>
                <w:b w:val="0"/>
                <w:color w:val="1A2B3C"/>
                <w:sz w:val="18"/>
              </w:rPr>
              <w:t xml:space="preserve"> — a step-change, not a trend. Our own underwriting has FY2027 growth at +3.1%.</w:t>
            </w:r>
          </w:p>
          <w:p>
            <w:pPr>
              <w:spacing w:after="40" w:line="252" w:lineRule="auto"/>
            </w:pPr>
            <w:r>
              <w:rPr>
                <w:b/>
                <w:color w:val="A61B1B"/>
                <w:sz w:val="18"/>
              </w:rPr>
              <w:t xml:space="preserve">The uncomfortable corollary. </w:t>
            </w:r>
            <w:r>
              <w:rPr>
                <w:b w:val="0"/>
                <w:color w:val="1A2B3C"/>
                <w:sz w:val="18"/>
              </w:rPr>
              <w:t xml:space="preserve">Because the gap is this wide, our rent-growth assumptions are </w:t>
            </w:r>
            <w:r>
              <w:rPr>
                <w:b/>
                <w:color w:val="1A2B3C"/>
                <w:sz w:val="18"/>
              </w:rPr>
              <w:t>not</w:t>
            </w:r>
            <w:r>
              <w:rPr>
                <w:b w:val="0"/>
                <w:color w:val="1A2B3C"/>
                <w:sz w:val="18"/>
              </w:rPr>
              <w:t xml:space="preserve"> constrained by supply — which means they have to be defended on demand alone. If Boise rent growth disappoints, there is no supply-side story that rescues the exit. The moat protects us from a supply shock; it does nothing for a demand shock.</w:t>
            </w:r>
          </w:p>
        </w:tc>
      </w:tr>
    </w:tbl>
    <w:p>
      <w:pPr>
        <w:pBdr>
          <w:bottom w:val="single" w:sz="6" w:space="2" w:color="153D64"/>
        </w:pBdr>
        <w:spacing w:before="220" w:after="20"/>
      </w:pPr>
      <w:r>
        <w:rPr>
          <w:rFonts w:ascii="Georgia" w:hAnsi="Georgia"/>
          <w:b/>
          <w:color w:val="B49955"/>
          <w:sz w:val="25"/>
        </w:rPr>
        <w:t xml:space="preserve">4  </w:t>
      </w:r>
      <w:r>
        <w:rPr>
          <w:rFonts w:ascii="Georgia" w:hAnsi="Georgia"/>
          <w:b/>
          <w:color w:val="153D64"/>
          <w:sz w:val="25"/>
        </w:rPr>
        <w:t>Lens 3 — Build vs. buy, and the two $400k exits</w:t>
      </w:r>
    </w:p>
    <w:p>
      <w:pPr>
        <w:spacing w:before="140" w:after="40"/>
      </w:pPr>
      <w:r>
        <w:rPr>
          <w:rFonts w:ascii="Georgia" w:hAnsi="Georgia"/>
          <w:b/>
          <w:color w:val="153D64"/>
          <w:sz w:val="20"/>
        </w:rPr>
        <w:t>4.1  Build vs. buy</w:t>
      </w:r>
    </w:p>
    <w:p>
      <w:pPr>
        <w:spacing w:before="160" w:after="40"/>
      </w:pPr>
      <w:r>
        <w:rPr>
          <w:rFonts w:ascii="Georgia" w:hAnsi="Georgia"/>
          <w:b/>
          <w:color w:val="B49955"/>
          <w:sz w:val="17"/>
        </w:rPr>
        <w:t xml:space="preserve">EXHIBIT G   </w:t>
      </w:r>
      <w:r>
        <w:rPr>
          <w:b/>
          <w:color w:val="153D64"/>
          <w:sz w:val="17"/>
        </w:rPr>
        <w:t>Buying Seasons vs. building its replica today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448"/>
            <w:shd w:val="clear" w:color="auto" w:fill="153D64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3744"/>
            <w:shd w:val="clear" w:color="auto" w:fill="153D64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>Buy Seasons (TMG)</w:t>
            </w:r>
          </w:p>
        </w:tc>
        <w:tc>
          <w:tcPr>
            <w:tcW w:type="dxa" w:w="4032"/>
            <w:shd w:val="clear" w:color="auto" w:fill="153D64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>Build a replica today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Basis per unit</w:t>
            </w:r>
          </w:p>
        </w:tc>
        <w:tc>
          <w:tcPr>
            <w:tcW w:type="dxa" w:w="3744"/>
          </w:tcPr>
          <w:p>
            <w:pPr>
              <w:spacing w:after="20" w:before="20"/>
              <w:jc w:val="left"/>
            </w:pPr>
            <w:r>
              <w:rPr>
                <w:b/>
                <w:color w:val="153D64"/>
                <w:sz w:val="16"/>
              </w:rPr>
              <w:t>$339,175</w:t>
            </w:r>
          </w:p>
        </w:tc>
        <w:tc>
          <w:tcPr>
            <w:tcW w:type="dxa" w:w="4032"/>
          </w:tcPr>
          <w:p>
            <w:pPr>
              <w:spacing w:after="20" w:before="20"/>
              <w:jc w:val="left"/>
            </w:pPr>
            <w:r>
              <w:rPr>
                <w:b/>
                <w:color w:val="1A2B3C"/>
                <w:sz w:val="16"/>
              </w:rPr>
              <w:t>$322,530 (+$0 land carry)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Equity per unit</w:t>
            </w:r>
          </w:p>
        </w:tc>
        <w:tc>
          <w:tcPr>
            <w:tcW w:type="dxa" w:w="3744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$127,077</w:t>
            </w:r>
          </w:p>
        </w:tc>
        <w:tc>
          <w:tcPr>
            <w:tcW w:type="dxa" w:w="4032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$137,038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Cash flow starts</w:t>
            </w:r>
          </w:p>
        </w:tc>
        <w:tc>
          <w:tcPr>
            <w:tcW w:type="dxa" w:w="3744"/>
          </w:tcPr>
          <w:p>
            <w:pPr>
              <w:spacing w:after="20" w:before="20"/>
              <w:jc w:val="left"/>
            </w:pPr>
            <w:r>
              <w:rPr>
                <w:b/>
                <w:color w:val="1E6B33"/>
                <w:sz w:val="16"/>
              </w:rPr>
              <w:t>immediately (96.1% occupied)</w:t>
            </w:r>
          </w:p>
        </w:tc>
        <w:tc>
          <w:tcPr>
            <w:tcW w:type="dxa" w:w="4032"/>
          </w:tcPr>
          <w:p>
            <w:pPr>
              <w:spacing w:after="20" w:before="20"/>
              <w:jc w:val="left"/>
            </w:pPr>
            <w:r>
              <w:rPr>
                <w:b w:val="0"/>
                <w:color w:val="A61B1B"/>
                <w:sz w:val="16"/>
              </w:rPr>
              <w:t>2030–31 after entitlement + build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Yield on cost / going-in</w:t>
            </w:r>
          </w:p>
        </w:tc>
        <w:tc>
          <w:tcPr>
            <w:tcW w:type="dxa" w:w="3744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4.89% Year 1 cap</w:t>
            </w:r>
          </w:p>
        </w:tc>
        <w:tc>
          <w:tcPr>
            <w:tcW w:type="dxa" w:w="4032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6.80% YoC — but only at $2,224 rent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Rent required to achieve it</w:t>
            </w:r>
          </w:p>
        </w:tc>
        <w:tc>
          <w:tcPr>
            <w:tcW w:type="dxa" w:w="3744"/>
          </w:tcPr>
          <w:p>
            <w:pPr>
              <w:spacing w:after="20" w:before="20"/>
              <w:jc w:val="left"/>
            </w:pPr>
            <w:r>
              <w:rPr>
                <w:b/>
                <w:color w:val="1E6B33"/>
                <w:sz w:val="16"/>
              </w:rPr>
              <w:t>$1,915 (achieved today)</w:t>
            </w:r>
          </w:p>
        </w:tc>
        <w:tc>
          <w:tcPr>
            <w:tcW w:type="dxa" w:w="4032"/>
          </w:tcPr>
          <w:p>
            <w:pPr>
              <w:spacing w:after="20" w:before="20"/>
              <w:jc w:val="left"/>
            </w:pPr>
            <w:r>
              <w:rPr>
                <w:b/>
                <w:color w:val="A61B1B"/>
                <w:sz w:val="16"/>
              </w:rPr>
              <w:t>$2,224 (16% above market)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Entitlement risk</w:t>
            </w:r>
          </w:p>
        </w:tc>
        <w:tc>
          <w:tcPr>
            <w:tcW w:type="dxa" w:w="3744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none — built and stabilized</w:t>
            </w:r>
          </w:p>
        </w:tc>
        <w:tc>
          <w:tcPr>
            <w:tcW w:type="dxa" w:w="4032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20 dead projects, ~4,365 units, 2015–26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Construction financing</w:t>
            </w:r>
          </w:p>
        </w:tc>
        <w:tc>
          <w:tcPr>
            <w:tcW w:type="dxa" w:w="3744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n/a</w:t>
            </w:r>
          </w:p>
        </w:tc>
        <w:tc>
          <w:tcPr>
            <w:tcW w:type="dxa" w:w="4032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0 ring loans YTD 2026; volume −82% from 2022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Tax basis at entry</w:t>
            </w:r>
          </w:p>
        </w:tc>
        <w:tc>
          <w:tcPr>
            <w:tcW w:type="dxa" w:w="3744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A61B1B"/>
                <w:sz w:val="16"/>
              </w:rPr>
              <w:t>steps up to 98% of price</w:t>
            </w:r>
          </w:p>
        </w:tc>
        <w:tc>
          <w:tcPr>
            <w:tcW w:type="dxa" w:w="4032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assessed on cost, ramps with construction</w:t>
            </w:r>
          </w:p>
        </w:tc>
      </w:tr>
    </w:tbl>
    <w:p>
      <w:pPr>
        <w:spacing w:after="40" w:before="40"/>
      </w:pPr>
      <w:r>
        <w:rPr>
          <w:b w:val="0"/>
          <w:i/>
          <w:color w:val="6F6F70"/>
          <w:sz w:val="15"/>
        </w:rPr>
        <w:t>The replica case is not a live alternative — it is the benchmark that tells us what our competition would have to accept. No rational developer takes 6.80% YoC risk at a rent 16% above market when the acquisition market clears at a 4.89% going-in on stabilized cash flow.</w:t>
      </w:r>
    </w:p>
    <w:p>
      <w:pPr>
        <w:spacing w:before="140" w:after="40"/>
      </w:pPr>
      <w:r>
        <w:rPr>
          <w:rFonts w:ascii="Georgia" w:hAnsi="Georgia"/>
          <w:b/>
          <w:color w:val="153D64"/>
          <w:sz w:val="20"/>
        </w:rPr>
        <w:t>4.2  The tax step-up we pay — and why our buyer will not</w:t>
      </w:r>
    </w:p>
    <w:p>
      <w:pPr>
        <w:spacing w:after="80" w:before="0"/>
      </w:pPr>
      <w:r>
        <w:rPr>
          <w:b w:val="0"/>
          <w:color w:val="1A2B3C"/>
          <w:sz w:val="19"/>
        </w:rPr>
        <w:t xml:space="preserve">Idaho reassesses to ~98% of sale price, and our purchase triggers exactly that. The subject is assessed at $92,993,300 today — </w:t>
      </w:r>
      <w:r>
        <w:rPr>
          <w:b/>
          <w:color w:val="153D64"/>
          <w:sz w:val="19"/>
        </w:rPr>
        <w:t>77% of what we are paying</w:t>
      </w:r>
      <w:r>
        <w:rPr>
          <w:b w:val="0"/>
          <w:color w:val="1A2B3C"/>
          <w:sz w:val="19"/>
        </w:rPr>
        <w:t xml:space="preserve">, because the developer’s assessment never caught up with construction. On the 2027 roll it steps to $117,600,000 (98% of price) and our tax bill goes </w:t>
      </w:r>
      <w:r>
        <w:rPr>
          <w:b/>
          <w:color w:val="A61B1B"/>
          <w:sz w:val="19"/>
        </w:rPr>
        <w:t>$419,111 → $519,411, +$100,300/yr (+24%)</w:t>
      </w:r>
      <w:r>
        <w:rPr>
          <w:b w:val="0"/>
          <w:color w:val="1A2B3C"/>
          <w:sz w:val="19"/>
        </w:rPr>
        <w:t xml:space="preserve"> — $2,050,071 of value at our 4.89% Year 1 cap, or 8 bp of going-in yield. TMG’s model captures this correctly.</w:t>
      </w:r>
    </w:p>
    <w:p>
      <w:pPr>
        <w:spacing w:after="80" w:before="0"/>
      </w:pPr>
      <w:r>
        <w:rPr>
          <w:b w:val="0"/>
          <w:color w:val="1A2B3C"/>
          <w:sz w:val="19"/>
        </w:rPr>
        <w:t xml:space="preserve">The asymmetry is the interesting part, and it is a genuine </w:t>
      </w:r>
      <w:r>
        <w:rPr>
          <w:b/>
          <w:color w:val="1E6B33"/>
          <w:sz w:val="19"/>
        </w:rPr>
        <w:t>positive</w:t>
      </w:r>
      <w:r>
        <w:rPr>
          <w:b w:val="0"/>
          <w:color w:val="1A2B3C"/>
          <w:sz w:val="19"/>
        </w:rPr>
        <w:t xml:space="preserve"> for our exit. This toll is paid </w:t>
      </w:r>
      <w:r>
        <w:rPr>
          <w:b/>
          <w:color w:val="1A2B3C"/>
          <w:sz w:val="19"/>
        </w:rPr>
        <w:t>once</w:t>
      </w:r>
      <w:r>
        <w:rPr>
          <w:b w:val="0"/>
          <w:color w:val="1A2B3C"/>
          <w:sz w:val="19"/>
        </w:rPr>
        <w:t xml:space="preserve">, by the first institutional buyer of merchant-built product. By 2032 our assessed value — reset in 2027 and grown 3.5%/yr — reaches $139.7M, which is </w:t>
      </w:r>
      <w:r>
        <w:rPr>
          <w:b/>
          <w:color w:val="153D64"/>
          <w:sz w:val="19"/>
        </w:rPr>
        <w:t>98% of our own exit price</w:t>
      </w:r>
      <w:r>
        <w:rPr>
          <w:b w:val="0"/>
          <w:color w:val="1A2B3C"/>
          <w:sz w:val="19"/>
        </w:rPr>
        <w:t xml:space="preserve">. Our buyer’s step-up is therefore </w:t>
      </w:r>
      <w:r>
        <w:rPr>
          <w:b w:val="0"/>
          <w:color w:val="1A2B3C"/>
          <w:sz w:val="19"/>
        </w:rPr>
        <w:t>$21,415 of value (0.01% of price) versus the $922,500 ($3,604/unit, 0.9% of price) a buyer of Emblem would absorb.</w:t>
      </w:r>
      <w:r>
        <w:rPr>
          <w:b/>
          <w:color w:val="1A2B3C"/>
          <w:sz w:val="19"/>
        </w:rPr>
        <w:t xml:space="preserve"> We sell a clean tax basis; a merchant developer does not.</w:t>
      </w:r>
    </w:p>
    <w:p>
      <w:pPr>
        <w:spacing w:before="140" w:after="40"/>
      </w:pPr>
      <w:r>
        <w:rPr>
          <w:rFonts w:ascii="Georgia" w:hAnsi="Georgia"/>
          <w:b/>
          <w:color w:val="153D64"/>
          <w:sz w:val="20"/>
        </w:rPr>
        <w:t>4.3  Two ~$400k/unit exits — are they consistent?</w:t>
      </w:r>
    </w:p>
    <w:p>
      <w:pPr>
        <w:spacing w:after="80" w:before="0"/>
      </w:pPr>
      <w:r>
        <w:rPr>
          <w:b w:val="0"/>
          <w:color w:val="1A2B3C"/>
          <w:sz w:val="19"/>
        </w:rPr>
        <w:t>Quarterra needs roughly $400k/unit in January 2030 on a two-year-old asset. We project roughly $397k/unit in October 2031 on a seven-year-old asset. Those numbers deserve to be put side by side, because at first glance they cannot both be right.</w:t>
      </w:r>
    </w:p>
    <w:p>
      <w:pPr>
        <w:spacing w:before="160" w:after="40"/>
      </w:pPr>
      <w:r>
        <w:rPr>
          <w:rFonts w:ascii="Georgia" w:hAnsi="Georgia"/>
          <w:b/>
          <w:color w:val="B49955"/>
          <w:sz w:val="17"/>
        </w:rPr>
        <w:t xml:space="preserve">EXHIBIT H   </w:t>
      </w:r>
      <w:r>
        <w:rPr>
          <w:b/>
          <w:color w:val="153D64"/>
          <w:sz w:val="17"/>
        </w:rPr>
        <w:t>Emblem Meridian vs. Seasons at Meridian — the exit, decomposed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376"/>
            <w:shd w:val="clear" w:color="auto" w:fill="153D64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2304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Emblem (Quarterra)</w:t>
            </w:r>
          </w:p>
        </w:tc>
        <w:tc>
          <w:tcPr>
            <w:tcW w:type="dxa" w:w="2232"/>
            <w:shd w:val="clear" w:color="auto" w:fill="153D64"/>
          </w:tcPr>
          <w:p>
            <w:pPr>
              <w:spacing w:after="20" w:before="20"/>
              <w:jc w:val="right"/>
            </w:pPr>
            <w:r>
              <w:rPr>
                <w:b/>
                <w:color w:val="FFFFFF"/>
                <w:sz w:val="16"/>
              </w:rPr>
              <w:t>Seasons (TMG)</w:t>
            </w:r>
          </w:p>
        </w:tc>
        <w:tc>
          <w:tcPr>
            <w:tcW w:type="dxa" w:w="3312"/>
            <w:shd w:val="clear" w:color="auto" w:fill="153D64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>Comment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Exit date</w:t>
            </w:r>
          </w:p>
        </w:tc>
        <w:tc>
          <w:tcPr>
            <w:tcW w:type="dxa" w:w="2304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January 2030</w:t>
            </w:r>
          </w:p>
        </w:tc>
        <w:tc>
          <w:tcPr>
            <w:tcW w:type="dxa" w:w="2232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October 2031</w:t>
            </w:r>
          </w:p>
        </w:tc>
        <w:tc>
          <w:tcPr>
            <w:tcW w:type="dxa" w:w="3312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21 months apart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Age at exit</w:t>
            </w:r>
          </w:p>
        </w:tc>
        <w:tc>
          <w:tcPr>
            <w:tcW w:type="dxa" w:w="2304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2 yrs (2028 vintage)</w:t>
            </w:r>
          </w:p>
        </w:tc>
        <w:tc>
          <w:tcPr>
            <w:tcW w:type="dxa" w:w="2232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/>
                <w:color w:val="1A2B3C"/>
                <w:sz w:val="16"/>
              </w:rPr>
              <w:t>7 yrs (2024 vintage)</w:t>
            </w:r>
          </w:p>
        </w:tc>
        <w:tc>
          <w:tcPr>
            <w:tcW w:type="dxa" w:w="3312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3.5-year age gap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Exit cap rate</w:t>
            </w:r>
          </w:p>
        </w:tc>
        <w:tc>
          <w:tcPr>
            <w:tcW w:type="dxa" w:w="2304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5.50%</w:t>
            </w:r>
          </w:p>
        </w:tc>
        <w:tc>
          <w:tcPr>
            <w:tcW w:type="dxa" w:w="2232"/>
          </w:tcPr>
          <w:p>
            <w:pPr>
              <w:spacing w:after="20" w:before="20"/>
              <w:jc w:val="right"/>
            </w:pPr>
            <w:r>
              <w:rPr>
                <w:b/>
                <w:color w:val="A61B1B"/>
                <w:sz w:val="16"/>
              </w:rPr>
              <w:t>5.25%</w:t>
            </w:r>
          </w:p>
        </w:tc>
        <w:tc>
          <w:tcPr>
            <w:tcW w:type="dxa" w:w="3312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older asset priced tighter — questionable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Exit NOI / unit</w:t>
            </w:r>
          </w:p>
        </w:tc>
        <w:tc>
          <w:tcPr>
            <w:tcW w:type="dxa" w:w="2304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$22,021</w:t>
            </w:r>
          </w:p>
        </w:tc>
        <w:tc>
          <w:tcPr>
            <w:tcW w:type="dxa" w:w="2232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$20,829</w:t>
            </w:r>
          </w:p>
        </w:tc>
        <w:tc>
          <w:tcPr>
            <w:tcW w:type="dxa" w:w="3312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Emblem +5.7% on larger units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Headline exit / unit</w:t>
            </w:r>
          </w:p>
        </w:tc>
        <w:tc>
          <w:tcPr>
            <w:tcW w:type="dxa" w:w="2304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$400,391</w:t>
            </w:r>
          </w:p>
        </w:tc>
        <w:tc>
          <w:tcPr>
            <w:tcW w:type="dxa" w:w="2232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$396,692</w:t>
            </w:r>
          </w:p>
        </w:tc>
        <w:tc>
          <w:tcPr>
            <w:tcW w:type="dxa" w:w="3312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the two ~$400k numbers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Assessed value at exit</w:t>
            </w:r>
          </w:p>
        </w:tc>
        <w:tc>
          <w:tcPr>
            <w:tcW w:type="dxa" w:w="2304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A61B1B"/>
                <w:sz w:val="16"/>
              </w:rPr>
              <w:t>87% of price</w:t>
            </w:r>
          </w:p>
        </w:tc>
        <w:tc>
          <w:tcPr>
            <w:tcW w:type="dxa" w:w="2232"/>
            <w:shd w:val="clear" w:color="auto" w:fill="EDF2F7"/>
          </w:tcPr>
          <w:p>
            <w:pPr>
              <w:spacing w:after="20" w:before="20"/>
              <w:jc w:val="right"/>
            </w:pPr>
            <w:r>
              <w:rPr>
                <w:b w:val="0"/>
                <w:color w:val="1E6B33"/>
                <w:sz w:val="16"/>
              </w:rPr>
              <w:t>98% of price</w:t>
            </w:r>
          </w:p>
        </w:tc>
        <w:tc>
          <w:tcPr>
            <w:tcW w:type="dxa" w:w="3312"/>
            <w:shd w:val="clear" w:color="auto" w:fill="EDF2F7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Emblem’s buyer inherits a step-up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Buyer step-up haircut</w:t>
            </w:r>
          </w:p>
        </w:tc>
        <w:tc>
          <w:tcPr>
            <w:tcW w:type="dxa" w:w="2304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−$3,604/u</w:t>
            </w:r>
          </w:p>
        </w:tc>
        <w:tc>
          <w:tcPr>
            <w:tcW w:type="dxa" w:w="2232"/>
          </w:tcPr>
          <w:p>
            <w:pPr>
              <w:spacing w:after="20" w:before="20"/>
              <w:jc w:val="right"/>
            </w:pPr>
            <w:r>
              <w:rPr>
                <w:b w:val="0"/>
                <w:color w:val="1A2B3C"/>
                <w:sz w:val="16"/>
              </w:rPr>
              <w:t>−$59/u</w:t>
            </w:r>
          </w:p>
        </w:tc>
        <w:tc>
          <w:tcPr>
            <w:tcW w:type="dxa" w:w="3312"/>
          </w:tcPr>
          <w:p>
            <w:pPr>
              <w:spacing w:after="20" w:before="20"/>
              <w:jc w:val="left"/>
            </w:pPr>
            <w:r>
              <w:rPr>
                <w:b w:val="0"/>
                <w:color w:val="1A2B3C"/>
                <w:sz w:val="16"/>
              </w:rPr>
              <w:t>the hidden difference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3EFE1"/>
          </w:tcPr>
          <w:p>
            <w:pPr>
              <w:spacing w:after="20" w:before="20"/>
              <w:jc w:val="left"/>
            </w:pPr>
            <w:r>
              <w:rPr>
                <w:b/>
                <w:color w:val="153D64"/>
                <w:sz w:val="16"/>
              </w:rPr>
              <w:t>Adjusted exit / unit</w:t>
            </w:r>
          </w:p>
        </w:tc>
        <w:tc>
          <w:tcPr>
            <w:tcW w:type="dxa" w:w="2304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/>
                <w:color w:val="153D64"/>
                <w:sz w:val="16"/>
              </w:rPr>
              <w:t>$396,787</w:t>
            </w:r>
          </w:p>
        </w:tc>
        <w:tc>
          <w:tcPr>
            <w:tcW w:type="dxa" w:w="2232"/>
            <w:shd w:val="clear" w:color="auto" w:fill="F3EFE1"/>
          </w:tcPr>
          <w:p>
            <w:pPr>
              <w:spacing w:after="20" w:before="20"/>
              <w:jc w:val="right"/>
            </w:pPr>
            <w:r>
              <w:rPr>
                <w:b/>
                <w:color w:val="153D64"/>
                <w:sz w:val="16"/>
              </w:rPr>
              <w:t>$396,633</w:t>
            </w:r>
          </w:p>
        </w:tc>
        <w:tc>
          <w:tcPr>
            <w:tcW w:type="dxa" w:w="3312"/>
            <w:shd w:val="clear" w:color="auto" w:fill="F3EFE1"/>
          </w:tcPr>
          <w:p>
            <w:pPr>
              <w:spacing w:after="20" w:before="20"/>
              <w:jc w:val="left"/>
            </w:pPr>
            <w:r>
              <w:rPr>
                <w:b/>
                <w:color w:val="1A2B3C"/>
                <w:sz w:val="16"/>
              </w:rPr>
              <w:t>within $154/unit of each other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7F4EC"/>
          </w:tcPr>
          <w:p>
            <w:pPr>
              <w:spacing w:after="40"/>
            </w:pPr>
            <w:r>
              <w:rPr>
                <w:rFonts w:ascii="Georgia" w:hAnsi="Georgia"/>
                <w:b/>
                <w:color w:val="153D64"/>
                <w:sz w:val="19"/>
              </w:rPr>
              <w:t>READ-THROUGH ON RISK 2 — the exit-price tension</w:t>
            </w:r>
          </w:p>
          <w:p>
            <w:pPr>
              <w:spacing w:after="40" w:line="252" w:lineRule="auto"/>
            </w:pPr>
            <w:r>
              <w:rPr>
                <w:b/>
                <w:color w:val="153D64"/>
                <w:sz w:val="18"/>
              </w:rPr>
              <w:t xml:space="preserve">Adjusted for tax basis, the two exits are the same number. </w:t>
            </w:r>
            <w:r>
              <w:rPr>
                <w:b w:val="0"/>
                <w:color w:val="1A2B3C"/>
                <w:sz w:val="18"/>
              </w:rPr>
              <w:t xml:space="preserve">Emblem’s $400,391 becomes $396,787 once its buyer prices the step-up; ours is $396,633. The apparent conflict is not that both assets are worth ~$400k/unit — it is </w:t>
            </w:r>
            <w:r>
              <w:rPr>
                <w:b/>
                <w:color w:val="1A2B3C"/>
                <w:sz w:val="18"/>
              </w:rPr>
              <w:t>when</w:t>
            </w:r>
            <w:r>
              <w:rPr>
                <w:b w:val="0"/>
                <w:color w:val="1A2B3C"/>
                <w:sz w:val="18"/>
              </w:rPr>
              <w:t xml:space="preserve"> and </w:t>
            </w:r>
            <w:r>
              <w:rPr>
                <w:b/>
                <w:color w:val="1A2B3C"/>
                <w:sz w:val="18"/>
              </w:rPr>
              <w:t>at what age</w:t>
            </w:r>
            <w:r>
              <w:rPr>
                <w:b w:val="0"/>
                <w:color w:val="1A2B3C"/>
                <w:sz w:val="18"/>
              </w:rPr>
              <w:t>.</w:t>
            </w:r>
          </w:p>
          <w:p>
            <w:pPr>
              <w:spacing w:after="40" w:line="252" w:lineRule="auto"/>
            </w:pPr>
            <w:r>
              <w:rPr>
                <w:b/>
                <w:color w:val="1A2B3C"/>
                <w:sz w:val="18"/>
              </w:rPr>
              <w:t xml:space="preserve">Rolled forward, our exit implies a 6% age discount. </w:t>
            </w:r>
            <w:r>
              <w:rPr>
                <w:b w:val="0"/>
                <w:color w:val="1A2B3C"/>
                <w:sz w:val="18"/>
              </w:rPr>
              <w:t>Growing Emblem’s adjusted $396,787 for 21 months at our own 3.54% appreciation CAGR gives $421,693/unit for a 3.5-year-old asset in October 2031. We underwrite our 7-year-old asset at 94% of that — about 1.7%/yr of relative obsolescence over the age gap. For garden product that is defensible, but it is an assumption we are making, not a market fact.</w:t>
            </w:r>
          </w:p>
          <w:p>
            <w:pPr>
              <w:spacing w:after="40" w:line="252" w:lineRule="auto"/>
            </w:pPr>
            <w:r>
              <w:rPr>
                <w:b/>
                <w:color w:val="A61B1B"/>
                <w:sz w:val="18"/>
              </w:rPr>
              <w:t xml:space="preserve">The cap rate is the softer number. </w:t>
            </w:r>
            <w:r>
              <w:rPr>
                <w:b w:val="0"/>
                <w:color w:val="1A2B3C"/>
                <w:sz w:val="18"/>
              </w:rPr>
              <w:t xml:space="preserve">Exiting a seven-year-old asset at 5.25% while a merchant developer underwrites a two-year-old asset at 5.50% inverts the normal age/cap relationship. Two readings: either Quarterra is padding its exit cap to show margin (common, and likely), or we are 25 bp light. If we are light, the cost is </w:t>
            </w:r>
            <w:r>
              <w:rPr>
                <w:b/>
                <w:color w:val="A61B1B"/>
                <w:sz w:val="18"/>
              </w:rPr>
              <w:t>$6,470,971 of exit value and 205 bp of levered IRR — 11.21% falls to 9.16%.</w:t>
            </w:r>
            <w:r>
              <w:rPr>
                <w:b w:val="0"/>
                <w:color w:val="1A2B3C"/>
                <w:sz w:val="18"/>
              </w:rPr>
              <w:t xml:space="preserve"> We recommend IC see the 5.50% case as the downside, not the 5.25% as the base.</w:t>
            </w:r>
          </w:p>
          <w:p>
            <w:pPr>
              <w:spacing w:after="40" w:line="252" w:lineRule="auto"/>
            </w:pPr>
            <w:r>
              <w:rPr>
                <w:b/>
                <w:color w:val="153D64"/>
                <w:sz w:val="18"/>
              </w:rPr>
              <w:t xml:space="preserve">The two risks are linked, and they point the same way. </w:t>
            </w:r>
            <w:r>
              <w:rPr>
                <w:b w:val="0"/>
                <w:color w:val="1A2B3C"/>
                <w:sz w:val="18"/>
              </w:rPr>
              <w:t xml:space="preserve">Our exit at $397k/unit requires the NOI growth in Exhibit F. That same rent growth is what restores development feasibility. The good news from Exhibit F is that our own underwriting does not generate enough rent growth to restore feasibility before we sell — so the exit thesis and the moat thesis are </w:t>
            </w:r>
            <w:r>
              <w:rPr>
                <w:b/>
                <w:color w:val="1E6B33"/>
                <w:sz w:val="18"/>
              </w:rPr>
              <w:t>compatible</w:t>
            </w:r>
            <w:r>
              <w:rPr>
                <w:b w:val="0"/>
                <w:color w:val="1A2B3C"/>
                <w:sz w:val="18"/>
              </w:rPr>
              <w:t>. They stop being compatible only in a high-growth world, where we would earn more rent but sell into a market that has begun building again.</w:t>
            </w:r>
          </w:p>
        </w:tc>
      </w:tr>
    </w:tbl>
    <w:p>
      <w:pPr>
        <w:pBdr>
          <w:bottom w:val="single" w:sz="6" w:space="2" w:color="153D64"/>
        </w:pBdr>
        <w:spacing w:before="220" w:after="20"/>
      </w:pPr>
      <w:r>
        <w:rPr>
          <w:rFonts w:ascii="Georgia" w:hAnsi="Georgia"/>
          <w:b/>
          <w:color w:val="B49955"/>
          <w:sz w:val="25"/>
        </w:rPr>
        <w:t xml:space="preserve">5  </w:t>
      </w:r>
      <w:r>
        <w:rPr>
          <w:rFonts w:ascii="Georgia" w:hAnsi="Georgia"/>
          <w:b/>
          <w:color w:val="153D64"/>
          <w:sz w:val="25"/>
        </w:rPr>
        <w:t>What would change this view</w:t>
      </w:r>
    </w:p>
    <w:p>
      <w:pPr>
        <w:pStyle w:val="ListBullet"/>
        <w:spacing w:after="50" w:line="252" w:lineRule="auto"/>
        <w:ind w:left="317" w:hanging="187"/>
      </w:pPr>
      <w:r>
        <w:rPr>
          <w:b/>
          <w:color w:val="153D64"/>
          <w:sz w:val="19"/>
        </w:rPr>
        <w:t xml:space="preserve">Construction debt reopens at 65% LTC. </w:t>
      </w:r>
      <w:r>
        <w:rPr>
          <w:b w:val="0"/>
          <w:color w:val="1A2B3C"/>
          <w:sz w:val="19"/>
        </w:rPr>
        <w:t>The single highest-impact variable. At 65% LTC the equity check falls from $137,038 to ~$106,600/unit and the required rent drops materially. Watch ring construction originations — zero year-to-date 2026 is the number that matters.</w:t>
      </w:r>
    </w:p>
    <w:p>
      <w:pPr>
        <w:pStyle w:val="ListBullet"/>
        <w:spacing w:after="50" w:line="252" w:lineRule="auto"/>
        <w:ind w:left="317" w:hanging="187"/>
      </w:pPr>
      <w:r>
        <w:rPr>
          <w:b/>
          <w:color w:val="153D64"/>
          <w:sz w:val="19"/>
        </w:rPr>
        <w:t xml:space="preserve">Market rents beat underwriting by more than ~5% in any year. </w:t>
      </w:r>
      <w:r>
        <w:rPr>
          <w:b w:val="0"/>
          <w:color w:val="1A2B3C"/>
          <w:sz w:val="19"/>
        </w:rPr>
        <w:t>That is the early-warning threshold at which the FY2027–28 required-rent gap starts closing fast enough to matter before our exit.</w:t>
      </w:r>
    </w:p>
    <w:p>
      <w:pPr>
        <w:pStyle w:val="ListBullet"/>
        <w:spacing w:after="50" w:line="252" w:lineRule="auto"/>
        <w:ind w:left="317" w:hanging="187"/>
      </w:pPr>
      <w:r>
        <w:rPr>
          <w:b/>
          <w:color w:val="153D64"/>
          <w:sz w:val="19"/>
        </w:rPr>
        <w:t xml:space="preserve">Outer Banks permits its remaining ~47 buildings. </w:t>
      </w:r>
      <w:r>
        <w:rPr>
          <w:b w:val="0"/>
          <w:color w:val="1A2B3C"/>
          <w:sz w:val="19"/>
        </w:rPr>
        <w:t>Today only 3 are permitted. Full permitting would confirm that at least one sponsor has financing at this basis, and would validate 2028–30 supply we currently discount.</w:t>
      </w:r>
    </w:p>
    <w:p>
      <w:pPr>
        <w:pStyle w:val="ListBullet"/>
        <w:spacing w:after="50" w:line="252" w:lineRule="auto"/>
        <w:ind w:left="317" w:hanging="187"/>
      </w:pPr>
      <w:r>
        <w:rPr>
          <w:b/>
          <w:color w:val="153D64"/>
          <w:sz w:val="19"/>
        </w:rPr>
        <w:t xml:space="preserve">Any of the three expiring entitlements is extended and financed. </w:t>
      </w:r>
      <w:r>
        <w:rPr>
          <w:b w:val="0"/>
          <w:color w:val="1A2B3C"/>
          <w:sz w:val="19"/>
        </w:rPr>
        <w:t>The Judy (~9/10/26), Meridian OZ (~10/17/26), Gateway (~11/19/26). Extension alone is defensive and means little; extension plus a closed construction loan is the signal.</w:t>
      </w:r>
    </w:p>
    <w:p>
      <w:pPr>
        <w:pStyle w:val="ListBullet"/>
        <w:spacing w:after="50" w:line="252" w:lineRule="auto"/>
        <w:ind w:left="317" w:hanging="187"/>
      </w:pPr>
      <w:r>
        <w:rPr>
          <w:b/>
          <w:color w:val="153D64"/>
          <w:sz w:val="19"/>
        </w:rPr>
        <w:t xml:space="preserve">The WinCo parcel next door re-files for multifamily. </w:t>
      </w:r>
      <w:r>
        <w:rPr>
          <w:b w:val="0"/>
          <w:color w:val="1A2B3C"/>
          <w:sz w:val="19"/>
        </w:rPr>
        <w:t>We assess ~5% probability with an earliest delivery of ~2030, and the 2022 denial findings still stand. But it touches us, and it is the one site where new supply would compete directly rather than 3+ miles away.</w:t>
      </w:r>
    </w:p>
    <w:p>
      <w:pPr>
        <w:pStyle w:val="ListBullet"/>
        <w:spacing w:after="50" w:line="252" w:lineRule="auto"/>
        <w:ind w:left="317" w:hanging="187"/>
      </w:pPr>
      <w:r>
        <w:rPr>
          <w:b/>
          <w:color w:val="153D64"/>
          <w:sz w:val="19"/>
        </w:rPr>
        <w:t xml:space="preserve">Cap rates for 2024-vintage garden product move. </w:t>
      </w:r>
      <w:r>
        <w:rPr>
          <w:b w:val="0"/>
          <w:color w:val="1A2B3C"/>
          <w:sz w:val="19"/>
        </w:rPr>
        <w:t>Our exit assumes 5.25% on a seven-year-old asset. Track every Treasure Valley trade of 2018–2024 vintage garden product and re-test the age/cap relationship in Exhibit H.</w:t>
      </w:r>
    </w:p>
    <w:p>
      <w:pPr>
        <w:pBdr>
          <w:top w:val="single" w:sz="8" w:space="2" w:color="B49955"/>
        </w:pBdr>
        <w:spacing w:before="200"/>
      </w:pPr>
    </w:p>
    <w:p>
      <w:pPr>
        <w:spacing w:after="40" w:before="60"/>
      </w:pPr>
      <w:r>
        <w:rPr>
          <w:b/>
          <w:i w:val="0"/>
          <w:color w:val="153D64"/>
          <w:sz w:val="17"/>
        </w:rPr>
        <w:t>Sources and method</w:t>
      </w:r>
    </w:p>
    <w:p>
      <w:pPr>
        <w:spacing w:after="40" w:before="0"/>
      </w:pPr>
      <w:r>
        <w:rPr>
          <w:b w:val="0"/>
          <w:i w:val="0"/>
          <w:color w:val="6F6F70"/>
          <w:sz w:val="15"/>
        </w:rPr>
        <w:t>Live TMG Acquisitions model 7.26 — Seasons at Meridian v3 (re-uploaded 8/15/2026: $120.0M bid, 4.89% Y1 cap, 5.25% exit cap, 10/31/2031 exit, 11.21% LIRR) · Quarterra Emblem Meridian merchant model and equity book · Yardi Boise construction-loan tape (118 loans) · Ada County ArcGIS parcel layer (92,790 parcels) · Meridian and Ada County hearing records, findings, and permit ledgers.</w:t>
      </w:r>
    </w:p>
    <w:p>
      <w:pPr>
        <w:spacing w:after="40" w:before="0"/>
      </w:pPr>
      <w:r>
        <w:rPr>
          <w:b w:val="0"/>
          <w:i w:val="0"/>
          <w:color w:val="6F6F70"/>
          <w:sz w:val="15"/>
        </w:rPr>
        <w:t>Supporting workpapers, all in research/audit_2026-08/: replacement_cost_analysis.md (v3) · emblem_normalization.py · tax_stepup_analysis.py · development_feasibility.py · pipeline_likelihood_report.md · graveyard_report.md · graveyard_register.md · seasons_II_overland_wells_II_status.md. Companion deliverables: Supply Chart.xlsx, Supply Map.html, Land Use Analysis.xlsx, Land Use Viewer.html.</w:t>
      </w:r>
    </w:p>
    <w:p>
      <w:pPr>
        <w:spacing w:after="0" w:before="0"/>
      </w:pPr>
      <w:r>
        <w:rPr>
          <w:b w:val="0"/>
          <w:i/>
          <w:color w:val="6F6F70"/>
          <w:sz w:val="15"/>
        </w:rPr>
        <w:t>Known limitations: Emblem’s land is still owned by Baron Properties, so its budget is an intent, not a commitment. Syringa Crossing’s 8/6/2026 P&amp;Z outcome is unpublished. Cloverdale Crossing (PLN25-00471) carries no unit count. Owner names for five parcels require manual assessor lookups. None of these changes the direction of the conclusions.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A2B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