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</w:pPr>
      <w:r>
        <w:rPr>
          <w:rFonts w:ascii="Georgia" w:cs="Georgia" w:eastAsia="Georgia" w:hAnsi="Georgia"/>
          <w:b/>
          <w:bCs/>
          <w:color w:val="1D231F"/>
          <w:sz w:val="52"/>
          <w:szCs w:val="52"/>
        </w:rPr>
        <w:t xml:space="preserve">The Boise Slowdown: Signal, Noise, and the Story Beneath the Trailing Three-Month Number</w:t>
      </w:r>
    </w:p>
    <w:p>
      <w:pPr>
        <w:spacing w:after="480"/>
      </w:pPr>
      <w:r>
        <w:rPr>
          <w:rFonts w:ascii="Georgia" w:cs="Georgia" w:eastAsia="Georgia" w:hAnsi="Georgia"/>
          <w:color w:val="2E5E4E"/>
          <w:sz w:val="26"/>
          <w:szCs w:val="26"/>
        </w:rPr>
        <w:t xml:space="preserve">Employment research for the Seasons at Meridian acquisition · Boise City MSA</w:t>
      </w:r>
    </w:p>
    <w:p>
      <w:pPr>
        <w:spacing w:after="80"/>
      </w:pPr>
      <w:r>
        <w:rPr>
          <w:rFonts w:ascii="Calibri" w:cs="Calibri" w:eastAsia="Calibri" w:hAnsi="Calibri"/>
          <w:color w:val="444B44"/>
          <w:sz w:val="22"/>
          <w:szCs w:val="22"/>
        </w:rPr>
        <w:t xml:space="preserve">Prepared for Milestone — Seasons at Meridian deal file</w:t>
      </w:r>
    </w:p>
    <w:p>
      <w:r>
        <w:rPr>
          <w:rFonts w:ascii="Calibri" w:cs="Calibri" w:eastAsia="Calibri" w:hAnsi="Calibri"/>
          <w:color w:val="444B44"/>
          <w:sz w:val="22"/>
          <w:szCs w:val="22"/>
        </w:rPr>
        <w:t xml:space="preserve">August 13, 2026</w:t>
      </w:r>
    </w:p>
    <w:p>
      <w:pPr>
        <w:spacing w:before="2000"/>
      </w:pPr>
      <w:r>
        <w:rPr>
          <w:rFonts w:ascii="Calibri" w:cs="Calibri" w:eastAsia="Calibri" w:hAnsi="Calibri"/>
          <w:i/>
          <w:iCs/>
          <w:color w:val="666E66"/>
          <w:sz w:val="18"/>
          <w:szCs w:val="18"/>
        </w:rPr>
        <w:t xml:space="preserve">Companion documents in the deal file: Boise Employment Drivers memo (v2), Location Premium — Eagle Rd × I-84 (v3 corrected), District at Ten Mile Dossier, appendices A–I.</w:t>
      </w:r>
    </w:p>
    <w:p>
      <w:r>
        <w:br w:type="page"/>
      </w:r>
    </w:p>
    <w:p>
      <w:pPr>
        <w:spacing w:after="16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after="160" w:before="240"/>
      </w:pPr>
      <w:r>
        <w:rPr>
          <w:rFonts w:ascii="Georgia" w:cs="Georgia" w:eastAsia="Georgia" w:hAnsi="Georgia"/>
          <w:b/>
          <w:bCs/>
          <w:color w:val="1D231F"/>
          <w:sz w:val="32"/>
          <w:szCs w:val="32"/>
        </w:rPr>
        <w:t xml:space="preserve">Executive Summary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trailing-3-month (T3M) year-over-year payroll growth figure for the Boise MSA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+0.42% as of the window ending June 2026</w:t>
      </w:r>
      <w:r>
        <w:rPr>
          <w:rFonts w:ascii="Calibri" w:cs="Calibri" w:eastAsia="Calibri" w:hAnsi="Calibri"/>
          <w:sz w:val="21"/>
          <w:szCs w:val="21"/>
        </w:rPr>
        <w:t xml:space="preserve">, down from +2.48% a year earlier — prompted this investigation: is there a story behind it, and a cause? There is. Six findings, in order of importance: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Finding 1 — A large share of the measured slowdown is a measurement artifact, and the hard data says Boise was still growing ~2.4% through the end of 2025.</w:t>
      </w:r>
      <w:r>
        <w:rPr>
          <w:rFonts w:ascii="Calibri" w:cs="Calibri" w:eastAsia="Calibri" w:hAnsi="Calibri"/>
          <w:sz w:val="21"/>
          <w:szCs w:val="21"/>
        </w:rPr>
        <w:t xml:space="preserve"> The CES survey figures behind the T3M number diverged abruptly from the QCEW hard counts (actual unemployment-insurance tax records covering ~97% of jobs) beginning in Q4 2025 — precisely when the 43-day federal shutdown disrupted BLS data collection. QCEW shows Ada County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+2.51%</w:t>
      </w:r>
      <w:r>
        <w:rPr>
          <w:rFonts w:ascii="Calibri" w:cs="Calibri" w:eastAsia="Calibri" w:hAnsi="Calibri"/>
          <w:sz w:val="21"/>
          <w:szCs w:val="21"/>
        </w:rPr>
        <w:t xml:space="preserve"> and Canyon County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+2.09%</w:t>
      </w:r>
      <w:r>
        <w:rPr>
          <w:rFonts w:ascii="Calibri" w:cs="Calibri" w:eastAsia="Calibri" w:hAnsi="Calibri"/>
          <w:sz w:val="21"/>
          <w:szCs w:val="21"/>
        </w:rPr>
        <w:t xml:space="preserve"> year-over-year in Q4 2025, versus the CES print of +0.91% for the same window. At the sector level the divergence is starker: QCEW shows Ada County health care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+7.1%</w:t>
      </w:r>
      <w:r>
        <w:rPr>
          <w:rFonts w:ascii="Calibri" w:cs="Calibri" w:eastAsia="Calibri" w:hAnsi="Calibri"/>
          <w:sz w:val="21"/>
          <w:szCs w:val="21"/>
        </w:rPr>
        <w:t xml:space="preserve">, construction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+6.7%</w:t>
      </w:r>
      <w:r>
        <w:rPr>
          <w:rFonts w:ascii="Calibri" w:cs="Calibri" w:eastAsia="Calibri" w:hAnsi="Calibri"/>
          <w:sz w:val="21"/>
          <w:szCs w:val="21"/>
        </w:rPr>
        <w:t xml:space="preserve">, and accommodation &amp; food services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+2.0%</w:t>
      </w:r>
      <w:r>
        <w:rPr>
          <w:rFonts w:ascii="Calibri" w:cs="Calibri" w:eastAsia="Calibri" w:hAnsi="Calibri"/>
          <w:sz w:val="21"/>
          <w:szCs w:val="21"/>
        </w:rPr>
        <w:t xml:space="preserve"> — the three sectors CES portrays as collapsing. Boise's CES history will be re-benchmarked to these hard counts in early 2027; the expected direction is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substantial upward revision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Finding 2 — The remainder of the slowdown is real, and it is overwhelmingly national — a labor-supply event, not a Boise demand failure.</w:t>
      </w:r>
      <w:r>
        <w:rPr>
          <w:rFonts w:ascii="Calibri" w:cs="Calibri" w:eastAsia="Calibri" w:hAnsi="Calibri"/>
          <w:sz w:val="21"/>
          <w:szCs w:val="21"/>
        </w:rPr>
        <w:t xml:space="preserve"> A shift-share decomposition shows Boise's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local</w:t>
      </w:r>
      <w:r>
        <w:rPr>
          <w:rFonts w:ascii="Calibri" w:cs="Calibri" w:eastAsia="Calibri" w:hAnsi="Calibri"/>
          <w:sz w:val="21"/>
          <w:szCs w:val="21"/>
        </w:rPr>
        <w:t xml:space="preserve"> outperformance collapsed from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+7,900 jobs/year</w:t>
      </w:r>
      <w:r>
        <w:rPr>
          <w:rFonts w:ascii="Calibri" w:cs="Calibri" w:eastAsia="Calibri" w:hAnsi="Calibri"/>
          <w:sz w:val="21"/>
          <w:szCs w:val="21"/>
        </w:rPr>
        <w:t xml:space="preserve"> (window ending June 2025)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+700</w:t>
      </w:r>
      <w:r>
        <w:rPr>
          <w:rFonts w:ascii="Calibri" w:cs="Calibri" w:eastAsia="Calibri" w:hAnsi="Calibri"/>
          <w:sz w:val="21"/>
          <w:szCs w:val="21"/>
        </w:rPr>
        <w:t xml:space="preserve"> (June 2026): had Boise's sectors merely grown at national rates, it would have added +1,061 jobs; it added +1,733. The national stall itself is historic — calendar-2025 US payroll growth was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+181,000 for the entire year</w:t>
      </w:r>
      <w:r>
        <w:rPr>
          <w:rFonts w:ascii="Calibri" w:cs="Calibri" w:eastAsia="Calibri" w:hAnsi="Calibri"/>
          <w:sz w:val="21"/>
          <w:szCs w:val="21"/>
        </w:rPr>
        <w:t xml:space="preserve"> after benchmark revisions — and its dominant cause is the immigration reversal: net US migration went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negative in 2025 for the first time in at least fifty years</w:t>
      </w:r>
      <w:r>
        <w:rPr>
          <w:rFonts w:ascii="Calibri" w:cs="Calibri" w:eastAsia="Calibri" w:hAnsi="Calibri"/>
          <w:sz w:val="21"/>
          <w:szCs w:val="21"/>
        </w:rPr>
        <w:t xml:space="preserve">, cutting break-even payroll growth from ~250K/month (2023) to roughly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zero</w:t>
      </w:r>
      <w:r>
        <w:rPr>
          <w:rFonts w:ascii="Calibri" w:cs="Calibri" w:eastAsia="Calibri" w:hAnsi="Calibri"/>
          <w:sz w:val="21"/>
          <w:szCs w:val="21"/>
        </w:rPr>
        <w:t xml:space="preserve">. Boise, a metro whose growth premium is imported through in-migration, decelerates mechanically and at higher amplitude when the national migration engine stops.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Finding 3 — What is genuinely soft locally is specific, identifiable, and mostly policy- or weather-driven.</w:t>
      </w:r>
      <w:r>
        <w:rPr>
          <w:rFonts w:ascii="Calibri" w:cs="Calibri" w:eastAsia="Calibri" w:hAnsi="Calibri"/>
          <w:sz w:val="21"/>
          <w:szCs w:val="21"/>
        </w:rPr>
        <w:t xml:space="preserve"> Four sectors account for the entire measured deceleration: government (Idaho's ~$4B of cumulative tax cuts produced a projected deficit and 4% agency cuts — state government employment is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−7.4%</w:t>
      </w:r>
      <w:r>
        <w:rPr>
          <w:rFonts w:ascii="Calibri" w:cs="Calibri" w:eastAsia="Calibri" w:hAnsi="Calibri"/>
          <w:sz w:val="21"/>
          <w:szCs w:val="21"/>
        </w:rPr>
        <w:t xml:space="preserve"> YoY, federal −5.0%), leisure &amp; hospitality (consumer discretionary churn plus the worst ski winter in years —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not</w:t>
      </w:r>
      <w:r>
        <w:rPr>
          <w:rFonts w:ascii="Calibri" w:cs="Calibri" w:eastAsia="Calibri" w:hAnsi="Calibri"/>
          <w:sz w:val="21"/>
          <w:szCs w:val="21"/>
        </w:rPr>
        <w:t xml:space="preserve"> a tourism collapse; Boise Airport set its fourth consecutive passenger record), education &amp; health (a Medicaid contract change, small-provider closures, and big-system cost discipline — while hospital job postings run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+44%</w:t>
      </w:r>
      <w:r>
        <w:rPr>
          <w:rFonts w:ascii="Calibri" w:cs="Calibri" w:eastAsia="Calibri" w:hAnsi="Calibri"/>
          <w:sz w:val="21"/>
          <w:szCs w:val="21"/>
        </w:rPr>
        <w:t xml:space="preserve"> YoY), and construction (normalization from an extreme 2024–25 pace, plus the Micron/Exyte contract termination). Meanwhile the QCEW hard counts locate the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true</w:t>
      </w:r>
      <w:r>
        <w:rPr>
          <w:rFonts w:ascii="Calibri" w:cs="Calibri" w:eastAsia="Calibri" w:hAnsi="Calibri"/>
          <w:sz w:val="21"/>
          <w:szCs w:val="21"/>
        </w:rPr>
        <w:t xml:space="preserve"> local softness where CES shows strength: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finance (−1.8%), professional services (−1.5%), and manufacturing (−1.4%)</w:t>
      </w:r>
      <w:r>
        <w:rPr>
          <w:rFonts w:ascii="Calibri" w:cs="Calibri" w:eastAsia="Calibri" w:hAnsi="Calibri"/>
          <w:sz w:val="21"/>
          <w:szCs w:val="21"/>
        </w:rPr>
        <w:t xml:space="preserve"> — consistent with the HP exit, Albertsons erosion, and tech consolidation documented in the v2 memo.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Finding 4 — The labor market is supply-constrained, not demand-collapsed.</w:t>
      </w:r>
      <w:r>
        <w:rPr>
          <w:rFonts w:ascii="Calibri" w:cs="Calibri" w:eastAsia="Calibri" w:hAnsi="Calibri"/>
          <w:sz w:val="21"/>
          <w:szCs w:val="21"/>
        </w:rPr>
        <w:t xml:space="preserve"> The labor force is contracting (−0.8% T3M), participation fell a full point in six months (62.8% → 61.8%), ICE enforcement is at unprecedented levels in Idaho, and the population is aging — yet unemployment sits at 3.4% (US: 4.4%), job postings are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up 11%</w:t>
      </w:r>
      <w:r>
        <w:rPr>
          <w:rFonts w:ascii="Calibri" w:cs="Calibri" w:eastAsia="Calibri" w:hAnsi="Calibri"/>
          <w:sz w:val="21"/>
          <w:szCs w:val="21"/>
        </w:rPr>
        <w:t xml:space="preserve"> year-over-year, and Idaho's wage growth is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third-fastest in the nation</w:t>
      </w:r>
      <w:r>
        <w:rPr>
          <w:rFonts w:ascii="Calibri" w:cs="Calibri" w:eastAsia="Calibri" w:hAnsi="Calibri"/>
          <w:sz w:val="21"/>
          <w:szCs w:val="21"/>
        </w:rPr>
        <w:t xml:space="preserve">. Prices rising while quantities stall is the signature of a supply constraint. For an apartment owner this distinction is decisive: a supply-constrained labor market with fast wage growth supports rents; a demand collapse would not.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Finding 5 — The timeline matters: the trough is behind us on current data.</w:t>
      </w:r>
      <w:r>
        <w:rPr>
          <w:rFonts w:ascii="Calibri" w:cs="Calibri" w:eastAsia="Calibri" w:hAnsi="Calibri"/>
          <w:sz w:val="21"/>
          <w:szCs w:val="21"/>
        </w:rPr>
        <w:t xml:space="preserve"> The sequential run-rate bottomed in H2 2025 (−0.3% annualized — the shutdown, the Exyte termination, the state fiscal-year cuts) and recovered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~+1.1% annualized in H1 2026</w:t>
      </w:r>
      <w:r>
        <w:rPr>
          <w:rFonts w:ascii="Calibri" w:cs="Calibri" w:eastAsia="Calibri" w:hAnsi="Calibri"/>
          <w:sz w:val="21"/>
          <w:szCs w:val="21"/>
        </w:rPr>
        <w:t xml:space="preserve">. The T3M YoY figure of +0.42% carries the H2-2025 trough in its base and mechanically understates the current pace.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Finding 6 — The 2027–2030 catalyst stack is unusually visible.</w:t>
      </w:r>
      <w:r>
        <w:rPr>
          <w:rFonts w:ascii="Calibri" w:cs="Calibri" w:eastAsia="Calibri" w:hAnsi="Calibri"/>
          <w:sz w:val="21"/>
          <w:szCs w:val="21"/>
        </w:rPr>
        <w:t xml:space="preserve"> Micron's first Boise DRAM output (mid-2027) with semiconductor job postings already +92%; the ID2 fab (2028); ~$1.55B of hospital openings (2028–2030); the District at Ten Mile Phase 1 (spring 2027); SH-16 freeway completion (2027); the Gowen Field F-16 mission (2027); and the $700M airport program. Nationally, the re-acceleration channels are immigration normalization, rate cuts, and tariff sunset. IDOL's own forecast is +1.2%/year; with break-even payroll growth near zero, even modest prints in 2027 will coincide with a tight labor market.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Underwriting synthesis:</w:t>
      </w:r>
      <w:r>
        <w:rPr>
          <w:rFonts w:ascii="Calibri" w:cs="Calibri" w:eastAsia="Calibri" w:hAnsi="Calibri"/>
          <w:sz w:val="21"/>
          <w:szCs w:val="21"/>
        </w:rPr>
        <w:t xml:space="preserve"> the defensible reading of Boise employment for underwriting purposes is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true current growth trend of roughly +1.5% to +2.5%</w:t>
      </w:r>
      <w:r>
        <w:rPr>
          <w:rFonts w:ascii="Calibri" w:cs="Calibri" w:eastAsia="Calibri" w:hAnsi="Calibri"/>
          <w:sz w:val="21"/>
          <w:szCs w:val="21"/>
        </w:rPr>
        <w:t xml:space="preserve"> (hard-count basis), against a published CES figure of +0.4% that is likely to be revised up. We recommend underwriting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+1.0–1.5%</w:t>
      </w:r>
      <w:r>
        <w:rPr>
          <w:rFonts w:ascii="Calibri" w:cs="Calibri" w:eastAsia="Calibri" w:hAnsi="Calibri"/>
          <w:sz w:val="21"/>
          <w:szCs w:val="21"/>
        </w:rPr>
        <w:t xml:space="preserve"> — below the hard-data trend for conservatism, above the artifact-depressed CES print — while recognizing that Boise apartment demand is only partially payroll-coupled (retirees, remote workers, and priced-out would-be buyers rent without appearing in local payrolls). (Valuation, comps, and replacement-cost analysis are maintained separately in the deal file's `valuation/` folder — outside the scope of this paper.)</w:t>
      </w:r>
    </w:p>
    <w:p>
      <w:pPr>
        <w:pStyle w:val="Heading1"/>
        <w:pageBreakBefore/>
        <w:spacing w:after="160" w:before="240"/>
      </w:pPr>
      <w:r>
        <w:rPr>
          <w:rFonts w:ascii="Georgia" w:cs="Georgia" w:eastAsia="Georgia" w:hAnsi="Georgia"/>
          <w:b/>
          <w:bCs/>
          <w:color w:val="1D231F"/>
          <w:sz w:val="32"/>
          <w:szCs w:val="32"/>
        </w:rPr>
        <w:t xml:space="preserve">1. The Number in Question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All figures below are computed directly from raw BLS Current Employment Statistics (CES) state-and-area flat files (series IDs in Appendix A of the deal file's `appendix/E`), as the 3-month average ending in the stated month versus the same 3-month average one year earlier (NSA-on-NSA; the aligned windows make the comparison seasonally clean).</w:t>
      </w:r>
    </w:p>
    <w:tbl>
      <w:tblPr>
        <w:tblW w:type="dxa" w:w="9360"/>
        <w:tblBorders>
          <w:top w:val="single" w:color="9AA69C" w:sz="4"/>
          <w:left w:val="none"/>
          <w:bottom w:val="single" w:color="9AA69C" w:sz="4"/>
          <w:right w:val="none"/>
          <w:insideH w:val="single" w:color="D5DBD4" w:sz="2"/>
          <w:insideV w:val="none"/>
        </w:tblBorders>
      </w:tblPr>
      <w:tblGrid>
        <w:gridCol w:w="3182"/>
        <w:gridCol w:w="3089"/>
        <w:gridCol w:w="3089"/>
      </w:tblGrid>
      <w:tr>
        <w:trPr>
          <w:tblHeader/>
        </w:trPr>
        <w:tc>
          <w:tcPr>
            <w:tcW w:type="dxa" w:w="3182"/>
            <w:shd w:fill="E8E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T3M window ending</w:t>
            </w:r>
          </w:p>
        </w:tc>
        <w:tc>
          <w:tcPr>
            <w:tcW w:type="dxa" w:w="3089"/>
            <w:shd w:fill="E8E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YoY %</w:t>
            </w:r>
          </w:p>
        </w:tc>
        <w:tc>
          <w:tcPr>
            <w:tcW w:type="dxa" w:w="3089"/>
            <w:shd w:fill="E8E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YoY jobs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Jun 2023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+2.85%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+10,933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 2023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+3.24%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+12,667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Jun 2024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+2.70%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+10,633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 2024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+1.77%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+7,133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Jun 2025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+2.48%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+10,033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Sep 2025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+2.20%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+8,933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 2025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+0.91%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+3,733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 2026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+0.51%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+2,067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Jun 2026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+0.42%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+1,733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Two features stand out. First, the deceleration is not gradual: the series holds above +2% through September 2025 and then loses 1.3 points in a single quarter. Second, the collapse window (Q4 2025) coincides with three simultaneous events: the 43-day federal government shutdown (October 1 – November 12, 2025, which disrupted BLS collection — the Boise labor-force series is literally missing October 2025), the Micron/Exyte contract termination (effective September 2, 2025; 200+ layoffs), and the arrival of Idaho's state fiscal austerity. That coincidence motivates the first and most important question: how much of the measured cliff is real?</w:t>
      </w:r>
    </w:p>
    <w:p>
      <w:pPr>
        <w:pStyle w:val="Heading1"/>
        <w:pageBreakBefore/>
        <w:spacing w:after="160" w:before="240"/>
      </w:pPr>
      <w:r>
        <w:rPr>
          <w:rFonts w:ascii="Georgia" w:cs="Georgia" w:eastAsia="Georgia" w:hAnsi="Georgia"/>
          <w:b/>
          <w:bCs/>
          <w:color w:val="1D231F"/>
          <w:sz w:val="32"/>
          <w:szCs w:val="32"/>
        </w:rPr>
        <w:t xml:space="preserve">2. Finding 1: The Measurement Artifact</w:t>
      </w:r>
    </w:p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2E5E4E"/>
          <w:sz w:val="25"/>
          <w:szCs w:val="25"/>
        </w:rPr>
        <w:t xml:space="preserve">2.1 Two datasets, one economy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CES — the source of every headline payroll number and of the T3M figure — is a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survey</w:t>
      </w:r>
      <w:r>
        <w:rPr>
          <w:rFonts w:ascii="Calibri" w:cs="Calibri" w:eastAsia="Calibri" w:hAnsi="Calibri"/>
          <w:sz w:val="21"/>
          <w:szCs w:val="21"/>
        </w:rPr>
        <w:t xml:space="preserve"> of ~120,000 businesses nationally, extrapolated with a "birth-death" model for firms too new to be sampled. It is benchmarked once a year to the QCEW — the Quarterly Census of Employment and Wages — which is not a survey at all but the administrative record of unemployment-insurance tax filings, covering roughly 97% of jobs. Between benchmarks, CES for a mid-sized metro like Boise rests on a thin local sample plus modeled small-business behavior.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QCEW hard counts for the Boise MSA's two principal counties (pulled from the BLS QCEW open-data API for this paper):</w:t>
      </w:r>
    </w:p>
    <w:tbl>
      <w:tblPr>
        <w:tblW w:type="dxa" w:w="9360"/>
        <w:tblBorders>
          <w:top w:val="single" w:color="9AA69C" w:sz="4"/>
          <w:left w:val="none"/>
          <w:bottom w:val="single" w:color="9AA69C" w:sz="4"/>
          <w:right w:val="none"/>
          <w:insideH w:val="single" w:color="D5DBD4" w:sz="2"/>
          <w:insideV w:val="none"/>
        </w:tblBorders>
      </w:tblPr>
      <w:tblGrid>
        <w:gridCol w:w="3182"/>
        <w:gridCol w:w="2059"/>
        <w:gridCol w:w="2059"/>
        <w:gridCol w:w="2060"/>
      </w:tblGrid>
      <w:tr>
        <w:trPr>
          <w:tblHeader/>
        </w:trPr>
        <w:tc>
          <w:tcPr>
            <w:tcW w:type="dxa" w:w="3182"/>
            <w:shd w:fill="E8E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County</w:t>
            </w:r>
          </w:p>
        </w:tc>
        <w:tc>
          <w:tcPr>
            <w:tcW w:type="dxa" w:w="2059"/>
            <w:shd w:fill="E8E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Q3 2025 YoY</w:t>
            </w:r>
          </w:p>
        </w:tc>
        <w:tc>
          <w:tcPr>
            <w:tcW w:type="dxa" w:w="2059"/>
            <w:shd w:fill="E8E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Q4 2025 YoY</w:t>
            </w:r>
          </w:p>
        </w:tc>
        <w:tc>
          <w:tcPr>
            <w:tcW w:type="dxa" w:w="2060"/>
            <w:shd w:fill="E8E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Q4 2025 jobs added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Ada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+2.13%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+2.51%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+7,306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Canyon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+1.79%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+2.09%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+1,890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Combined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+2.05%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+2.41%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+9,196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Against this, CES printed +2.20% (T3M ending Sep 2025) — closely aligned with QCEW — and then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+0.91% for the window ending December 2025, a gap of 1.5 percentage points against the tax records for the identical period.</w:t>
      </w:r>
      <w:r>
        <w:rPr>
          <w:rFonts w:ascii="Calibri" w:cs="Calibri" w:eastAsia="Calibri" w:hAnsi="Calibri"/>
          <w:sz w:val="21"/>
          <w:szCs w:val="21"/>
        </w:rPr>
        <w:t xml:space="preserve"> The divergence opens in exactly the quarter the shutdown disrupted collection.</w:t>
      </w:r>
    </w:p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2E5E4E"/>
          <w:sz w:val="25"/>
          <w:szCs w:val="25"/>
        </w:rPr>
        <w:t xml:space="preserve">2.2 The sector-level evidence is more striking than the total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QCEW by sector, Ada County, Q4 2025 vs Q4 2024 (private ownership):</w:t>
      </w:r>
    </w:p>
    <w:tbl>
      <w:tblPr>
        <w:tblW w:type="dxa" w:w="9360"/>
        <w:tblBorders>
          <w:top w:val="single" w:color="9AA69C" w:sz="4"/>
          <w:left w:val="none"/>
          <w:bottom w:val="single" w:color="9AA69C" w:sz="4"/>
          <w:right w:val="none"/>
          <w:insideH w:val="single" w:color="D5DBD4" w:sz="2"/>
          <w:insideV w:val="none"/>
        </w:tblBorders>
      </w:tblPr>
      <w:tblGrid>
        <w:gridCol w:w="3182"/>
        <w:gridCol w:w="3089"/>
        <w:gridCol w:w="3089"/>
      </w:tblGrid>
      <w:tr>
        <w:trPr>
          <w:tblHeader/>
        </w:trPr>
        <w:tc>
          <w:tcPr>
            <w:tcW w:type="dxa" w:w="3182"/>
            <w:shd w:fill="E8E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Sector</w:t>
            </w:r>
          </w:p>
        </w:tc>
        <w:tc>
          <w:tcPr>
            <w:tcW w:type="dxa" w:w="3089"/>
            <w:shd w:fill="E8E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QCEW Q4 2025 YoY</w:t>
            </w:r>
          </w:p>
        </w:tc>
        <w:tc>
          <w:tcPr>
            <w:tcW w:type="dxa" w:w="3089"/>
            <w:shd w:fill="E8E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CES narrative for the same period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Health care &amp; social assistance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+7.14%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(+3,186)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"sharp deceleration"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Construction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+6.65%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(+1,502)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"halving"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Accommodation &amp; food services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+2.03%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(+514)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"collapse"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Arts, entertainment &amp; recreation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+0.92%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collapse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Retail trade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+0.01%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Manufacturing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−1.38%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flat-to-positive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Professional/scientific/technical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−1.54%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improving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Finance &amp; insurance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−1.83%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improving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Educational services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−2.29%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surveys disagree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in both directions</w:t>
      </w:r>
      <w:r>
        <w:rPr>
          <w:rFonts w:ascii="Calibri" w:cs="Calibri" w:eastAsia="Calibri" w:hAnsi="Calibri"/>
          <w:sz w:val="21"/>
          <w:szCs w:val="21"/>
        </w:rPr>
        <w:t xml:space="preserve">. CES understates the sectors where new-establishment growth is concentrated (health care, construction, hospitality — precisely the sectors the birth-death model handles worst in a fast-growth metro), and overstates the white-collar sectors. The QCEW picture — booming healthcare and construction, growing hospitality, genuinely soft finance/professional/manufacturing — is also the picture that matches the observable facts on the ground: ~$1.55B of hospital construction, the Micron buildout, record airport traffic, versus the HP exit announcement, Albertsons erosion, Clearwater's take-private, and Kount/Cradlepoint shrinkage.</w:t>
      </w:r>
    </w:p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2E5E4E"/>
          <w:sz w:val="25"/>
          <w:szCs w:val="25"/>
        </w:rPr>
        <w:t xml:space="preserve">2.3 The national benchmark asymmetry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Nationally, the benchmark story runs the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other</w:t>
      </w:r>
      <w:r>
        <w:rPr>
          <w:rFonts w:ascii="Calibri" w:cs="Calibri" w:eastAsia="Calibri" w:hAnsi="Calibri"/>
          <w:sz w:val="21"/>
          <w:szCs w:val="21"/>
        </w:rPr>
        <w:t xml:space="preserve"> way: the March 2025 preliminary benchmark was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−911,000</w:t>
      </w:r>
      <w:r>
        <w:rPr>
          <w:rFonts w:ascii="Calibri" w:cs="Calibri" w:eastAsia="Calibri" w:hAnsi="Calibri"/>
          <w:sz w:val="21"/>
          <w:szCs w:val="21"/>
        </w:rPr>
        <w:t xml:space="preserve"> (the largest on record), the final benchmark cut calendar-2025 growth by 403,000, and BLS reformed the birth-death model in January 2026 (quarterly updates; the reformed model's forecasts ran 185K below the old method). Nationally, CES had been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overstating</w:t>
      </w:r>
      <w:r>
        <w:rPr>
          <w:rFonts w:ascii="Calibri" w:cs="Calibri" w:eastAsia="Calibri" w:hAnsi="Calibri"/>
          <w:sz w:val="21"/>
          <w:szCs w:val="21"/>
        </w:rPr>
        <w:t xml:space="preserve"> growth during the immigration reversal. This is not a contradiction of the Boise finding — it is its complement: the birth-death model over-imputes new-business jobs where business formation is slowing (the national aggregate) and under-imputes where formation is still running hot (Boise, where QCEW establishment counts keep rising). Small-area CES noise then compounds the problem. The Chicago Fed's caution applies to both: in a period of population-control turbulence, the unemployment rate is currently a more reliable cyclical signal than the payroll delta. Boise's is 3.4%.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Additional corroboration that the "collapse" is partly statistical: Idaho DOL itself flagged that a portion of the 2026 labor-force decline reflects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BLS population-model benchmark revisions</w:t>
      </w:r>
      <w:r>
        <w:rPr>
          <w:rFonts w:ascii="Calibri" w:cs="Calibri" w:eastAsia="Calibri" w:hAnsi="Calibri"/>
          <w:sz w:val="21"/>
          <w:szCs w:val="21"/>
        </w:rPr>
        <w:t xml:space="preserve"> rather than behavior ("Idaho receives benchmark adjustments for 2025 labor force statistics," April 6, 2026), and the state-level Business Employment Dynamics data — which do show a soft Q3 2025 (statewide net −6,800 private jobs) — measure statewide quarterly net change, dominated by seasonal and non-metro components, and are not inconsistent with positive metro-level YoY growth in the tax records.</w:t>
      </w:r>
    </w:p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2E5E4E"/>
          <w:sz w:val="25"/>
          <w:szCs w:val="25"/>
        </w:rPr>
        <w:t xml:space="preserve">2.4 What to expect, and when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CES state-and-area benchmark that will re-anchor Boise's 2025–26 history to the QCEW arrives with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March 2026 reference-period benchmark, published in early 2027</w:t>
      </w:r>
      <w:r>
        <w:rPr>
          <w:rFonts w:ascii="Calibri" w:cs="Calibri" w:eastAsia="Calibri" w:hAnsi="Calibri"/>
          <w:sz w:val="21"/>
          <w:szCs w:val="21"/>
        </w:rPr>
        <w:t xml:space="preserve">. Given a demonstrated 1.5-point gap through Q4 2025, the base case is a material upward revision to Boise's late-2025/2026 payroll history. QCEW for Q1 2026 (publishing September 2026) and Q2 2026 (December 2026) are the near-term checkpoints: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we recommend re-pulling Ada/Canyon QCEW in mid-September 2026</w:t>
      </w:r>
      <w:r>
        <w:rPr>
          <w:rFonts w:ascii="Calibri" w:cs="Calibri" w:eastAsia="Calibri" w:hAnsi="Calibri"/>
          <w:sz w:val="21"/>
          <w:szCs w:val="21"/>
        </w:rPr>
        <w:t xml:space="preserve"> — during diligence — to test whether the hard counts stayed near +2% into 2026. If they did, the CES +0.42% should be discounted heavily. If QCEW too has rolled over toward +1% or below, the slowdown is more real than this paper's base case and the conservative end of the underwriting range applies.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Caveats in the other direction, stated plainly:</w:t>
      </w:r>
      <w:r>
        <w:rPr>
          <w:rFonts w:ascii="Calibri" w:cs="Calibri" w:eastAsia="Calibri" w:hAnsi="Calibri"/>
          <w:sz w:val="21"/>
          <w:szCs w:val="21"/>
        </w:rPr>
        <w:t xml:space="preserve"> QCEW Q4 2025 is preliminary and subject to (historically small) revision; unauthorized workers exiting covered employment depress QCEW itself, meaning neither dataset fully captures the enforcement effect; and 2026 CES weakness cannot be directly tested against QCEW until September 2026. The finding is not "the slowdown is fake"; it is "the level of the cliff is exaggerated by the survey, and the tax records show a metro still compounding at roughly twice the published rate through the last verifiable quarter."</w:t>
      </w:r>
    </w:p>
    <w:p>
      <w:pPr>
        <w:pStyle w:val="Heading1"/>
        <w:pageBreakBefore/>
        <w:spacing w:after="160" w:before="240"/>
      </w:pPr>
      <w:r>
        <w:rPr>
          <w:rFonts w:ascii="Georgia" w:cs="Georgia" w:eastAsia="Georgia" w:hAnsi="Georgia"/>
          <w:b/>
          <w:bCs/>
          <w:color w:val="1D231F"/>
          <w:sz w:val="32"/>
          <w:szCs w:val="32"/>
        </w:rPr>
        <w:t xml:space="preserve">3. Finding 2: The Real Slowdown Is National — a Labor-Supply Event</w:t>
      </w:r>
    </w:p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2E5E4E"/>
          <w:sz w:val="25"/>
          <w:szCs w:val="25"/>
        </w:rPr>
        <w:t xml:space="preserve">3.1 Shift-share: Boise's growth premium evaporated; Boise did not break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shift-share decomposition asks: if each Boise sector had grown at its national sector's rate, what would Boise's total growth have been, and how much did Boise deviate locally?</w:t>
      </w:r>
    </w:p>
    <w:tbl>
      <w:tblPr>
        <w:tblW w:type="dxa" w:w="9360"/>
        <w:tblBorders>
          <w:top w:val="single" w:color="9AA69C" w:sz="4"/>
          <w:left w:val="none"/>
          <w:bottom w:val="single" w:color="9AA69C" w:sz="4"/>
          <w:right w:val="none"/>
          <w:insideH w:val="single" w:color="D5DBD4" w:sz="2"/>
          <w:insideV w:val="none"/>
        </w:tblBorders>
      </w:tblPr>
      <w:tblGrid>
        <w:gridCol w:w="3182"/>
        <w:gridCol w:w="2059"/>
        <w:gridCol w:w="2059"/>
        <w:gridCol w:w="2060"/>
      </w:tblGrid>
      <w:tr>
        <w:trPr>
          <w:tblHeader/>
        </w:trPr>
        <w:tc>
          <w:tcPr>
            <w:tcW w:type="dxa" w:w="3182"/>
            <w:shd w:fill="E8E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T3M window ending</w:t>
            </w:r>
          </w:p>
        </w:tc>
        <w:tc>
          <w:tcPr>
            <w:tcW w:type="dxa" w:w="2059"/>
            <w:shd w:fill="E8E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 at national rates</w:t>
            </w:r>
          </w:p>
        </w:tc>
        <w:tc>
          <w:tcPr>
            <w:tcW w:type="dxa" w:w="2059"/>
            <w:shd w:fill="E8E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Actual</w:t>
            </w:r>
          </w:p>
        </w:tc>
        <w:tc>
          <w:tcPr>
            <w:tcW w:type="dxa" w:w="2060"/>
            <w:shd w:fill="E8E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Local residual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Jun 2025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+2,165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+10,033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+7,869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Jun 2026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+1,061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+1,733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+673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Boise still outgrows the nation — the local residual remains positive — but the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premium</w:t>
      </w:r>
      <w:r>
        <w:rPr>
          <w:rFonts w:ascii="Calibri" w:cs="Calibri" w:eastAsia="Calibri" w:hAnsi="Calibri"/>
          <w:sz w:val="21"/>
          <w:szCs w:val="21"/>
        </w:rPr>
        <w:t xml:space="preserve"> collapsed by ~7,200 jobs/year. Sector-level residuals (window ending June 2026) show where Boise still outperforms and where it does not:</w:t>
      </w:r>
    </w:p>
    <w:tbl>
      <w:tblPr>
        <w:tblW w:type="dxa" w:w="9360"/>
        <w:tblBorders>
          <w:top w:val="single" w:color="9AA69C" w:sz="4"/>
          <w:left w:val="none"/>
          <w:bottom w:val="single" w:color="9AA69C" w:sz="4"/>
          <w:right w:val="none"/>
          <w:insideH w:val="single" w:color="D5DBD4" w:sz="2"/>
          <w:insideV w:val="none"/>
        </w:tblBorders>
      </w:tblPr>
      <w:tblGrid>
        <w:gridCol w:w="3182"/>
        <w:gridCol w:w="2059"/>
        <w:gridCol w:w="2059"/>
        <w:gridCol w:w="2060"/>
      </w:tblGrid>
      <w:tr>
        <w:trPr>
          <w:tblHeader/>
        </w:trPr>
        <w:tc>
          <w:tcPr>
            <w:tcW w:type="dxa" w:w="3182"/>
            <w:shd w:fill="E8E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Sector</w:t>
            </w:r>
          </w:p>
        </w:tc>
        <w:tc>
          <w:tcPr>
            <w:tcW w:type="dxa" w:w="2059"/>
            <w:shd w:fill="E8E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 T3M YoY</w:t>
            </w:r>
          </w:p>
        </w:tc>
        <w:tc>
          <w:tcPr>
            <w:tcW w:type="dxa" w:w="2059"/>
            <w:shd w:fill="E8E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Boise T3M YoY</w:t>
            </w:r>
          </w:p>
        </w:tc>
        <w:tc>
          <w:tcPr>
            <w:tcW w:type="dxa" w:w="2060"/>
            <w:shd w:fill="E8E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Local residual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Financial activities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−1.03%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+2.17%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+3.20pp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Other services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+0.69%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+2.59%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+1.90pp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Construction (incl. mining/logging)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+0.44%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+2.32%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+1.89pp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Trade/transport/utilities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−0.16%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+1.70%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+1.86pp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 &amp; business services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+0.13%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+1.08%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+0.95pp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Government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−1.03%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−0.74%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+0.29pp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Manufacturing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−0.40%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−0.32%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+0.08pp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Information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−2.96%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−4.44%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−1.49pp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Education &amp; health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+2.28%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+0.65%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−1.63pp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Leisure &amp; hospitality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+0.88%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−4.18%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−5.06pp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Boise outperforms the nation in seven of ten sectors — including construction (Micron) and, notably, the office-economy sectors in the CES data. Its two measured underperformances are leisure &amp; hospitality (a −5pp local residual — Section 4 shows this is one part real local churn, one part the ski winter, and one part survey artifact) and education &amp; health (which the QCEW contradicts outright).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The proximate cause of the Boise T3M slowdown is that the United States stopped adding jobs.</w:t>
      </w:r>
    </w:p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2E5E4E"/>
          <w:sz w:val="25"/>
          <w:szCs w:val="25"/>
        </w:rPr>
        <w:t xml:space="preserve">3.2 Why the nation stalled: the supply side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national record is stark: after final benchmarks,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US payrolls grew by 181,000 jobs in all of calendar 2025</w:t>
      </w:r>
      <w:r>
        <w:rPr>
          <w:rFonts w:ascii="Calibri" w:cs="Calibri" w:eastAsia="Calibri" w:hAnsi="Calibri"/>
          <w:sz w:val="21"/>
          <w:szCs w:val="21"/>
        </w:rPr>
        <w:t xml:space="preserve"> (vs +1.46M in 2024); the trailing-12-month average as of July 2026 is +34K/month; the July 2026 print was −23K. Yet the unemployment rate has held between 4.1% and 4.6%. Jobs growth near zero with a stable unemployment rate is arithmetically possible only if labor-force growth is near zero — which it is: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Net US migration turned negative in 2025 for the first time in at least half a century</w:t>
      </w:r>
      <w:r>
        <w:rPr>
          <w:rFonts w:ascii="Calibri" w:cs="Calibri" w:eastAsia="Calibri" w:hAnsi="Calibri"/>
          <w:sz w:val="21"/>
          <w:szCs w:val="21"/>
        </w:rPr>
        <w:t xml:space="preserve"> (AEI/Brookings: −295K to −10K; CBO: ~+400K; the Dallas Fed estimates net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unauthorized</w:t>
      </w:r>
      <w:r>
        <w:rPr>
          <w:rFonts w:ascii="Calibri" w:cs="Calibri" w:eastAsia="Calibri" w:hAnsi="Calibri"/>
          <w:sz w:val="21"/>
          <w:szCs w:val="21"/>
        </w:rPr>
        <w:t xml:space="preserve"> migration averaged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−55K/month in H2 2025</w:t>
      </w:r>
      <w:r>
        <w:rPr>
          <w:rFonts w:ascii="Calibri" w:cs="Calibri" w:eastAsia="Calibri" w:hAnsi="Calibri"/>
          <w:sz w:val="21"/>
          <w:szCs w:val="21"/>
        </w:rPr>
        <w:t xml:space="preserve">, heading to −89K/month by mid-2026).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Break-even payroll growth</w:t>
      </w:r>
      <w:r>
        <w:rPr>
          <w:rFonts w:ascii="Calibri" w:cs="Calibri" w:eastAsia="Calibri" w:hAnsi="Calibri"/>
          <w:sz w:val="21"/>
          <w:szCs w:val="21"/>
        </w:rPr>
        <w:t xml:space="preserve"> — the monthly gain needed to hold unemployment steady — fell from ~250K/month in 2023 to approximately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zero</w:t>
      </w:r>
      <w:r>
        <w:rPr>
          <w:rFonts w:ascii="Calibri" w:cs="Calibri" w:eastAsia="Calibri" w:hAnsi="Calibri"/>
          <w:sz w:val="21"/>
          <w:szCs w:val="21"/>
        </w:rPr>
        <w:t xml:space="preserve"> (Dallas Fed: ~−3K/month average Aug–Dec 2025; St. Louis Fed 2026 range: 15–87K; Fed Board concurs).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Fed Chair Powell's Jackson Hole framing — a "curious kind of balance" from "a marked slowing in both the supply of and demand for workers," attributed "much more" to immigration — remains the canonical description.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Demand is not absent from the story — the hires rate touched 3.1% in February 2026 (matching the April 2020 low), the private diffusion index spent most of 2025 below 50, and the "low-hire, low-fire" regime is hard on new entrants — but the supply-side signature (stable unemployment, slowing labor force, top-decile wage growth in supply-constrained states) dominates, nationally and in Idaho.</w:t>
      </w:r>
    </w:p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2E5E4E"/>
          <w:sz w:val="25"/>
          <w:szCs w:val="25"/>
        </w:rPr>
        <w:t xml:space="preserve">3.3 The other national channels, briefly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Federal workforce and spending:</w:t>
      </w:r>
      <w:r>
        <w:rPr>
          <w:rFonts w:ascii="Calibri" w:cs="Calibri" w:eastAsia="Calibri" w:hAnsi="Calibri"/>
          <w:sz w:val="21"/>
          <w:szCs w:val="21"/>
        </w:rPr>
        <w:t xml:space="preserve"> the federal civilian workforce shrank ~10% (−238K) in 2025; the Washington DC metro is −3.0% YoY — the country's worst — cleanly identifying the channel. Idaho, a federal-lands state with ~11–14K federal civilian jobs concentrated in Boise (BLM, Forest Service, NIFC), imports this directly: Idaho federal employment is −5.0% YoY.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Tariffs:</w:t>
      </w:r>
      <w:r>
        <w:rPr>
          <w:rFonts w:ascii="Calibri" w:cs="Calibri" w:eastAsia="Calibri" w:hAnsi="Calibri"/>
          <w:sz w:val="21"/>
          <w:szCs w:val="21"/>
        </w:rPr>
        <w:t xml:space="preserve"> effective rates reached ~14.3% (highest since 1939) before the February 2026 Supreme Court decision struck the IEEPA tariffs (replaced at ~10.5%); manufacturing employment fell for a third consecutive year (magnitude of tariff attribution contested — see Contested-Claims Register); tariff passthrough pushed the Fed's 2026 PCE projection to 3.6%, freezing the policy rate at 3.50–3.75% through 2026 to date.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Rates:</w:t>
      </w:r>
      <w:r>
        <w:rPr>
          <w:rFonts w:ascii="Calibri" w:cs="Calibri" w:eastAsia="Calibri" w:hAnsi="Calibri"/>
          <w:sz w:val="21"/>
          <w:szCs w:val="21"/>
        </w:rPr>
        <w:t xml:space="preserve"> mortgage rates ≥6% throughout; May 2026 housing starts printed the lowest since May 2020. (Construction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employment</w:t>
      </w:r>
      <w:r>
        <w:rPr>
          <w:rFonts w:ascii="Calibri" w:cs="Calibri" w:eastAsia="Calibri" w:hAnsi="Calibri"/>
          <w:sz w:val="21"/>
          <w:szCs w:val="21"/>
        </w:rPr>
        <w:t xml:space="preserve"> nationally held up better than starts partly because enforcement shrank the construction labor force even as demand fell — a supply cushion with obvious Idaho relevance.)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and entry-level hiring:</w:t>
      </w:r>
      <w:r>
        <w:rPr>
          <w:rFonts w:ascii="Calibri" w:cs="Calibri" w:eastAsia="Calibri" w:hAnsi="Calibri"/>
          <w:sz w:val="21"/>
          <w:szCs w:val="21"/>
        </w:rPr>
        <w:t xml:space="preserve"> credible occupation-level evidence of displacement among young workers in exposed occupations (Stanford/ADP: ~16% relative decline for ages 22–25 in the most-exposed roles); no consensus aggregate effect (Yale Budget Lab finds none). We assign it no payroll-point estimate.</w:t>
      </w:r>
    </w:p>
    <w:p>
      <w:pPr>
        <w:pStyle w:val="Heading1"/>
        <w:pageBreakBefore/>
        <w:spacing w:after="160" w:before="240"/>
      </w:pPr>
      <w:r>
        <w:rPr>
          <w:rFonts w:ascii="Georgia" w:cs="Georgia" w:eastAsia="Georgia" w:hAnsi="Georgia"/>
          <w:b/>
          <w:bCs/>
          <w:color w:val="1D231F"/>
          <w:sz w:val="32"/>
          <w:szCs w:val="32"/>
        </w:rPr>
        <w:t xml:space="preserve">4. Finding 3: What Is Genuinely Soft Locally — Four Sectors, Four Causal Chains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contribution decomposition isolates the deceleration precisely. Between the windows ending June 2025 and June 2026, total T3M growth fell 2.06 points. The sector contributions:</w:t>
      </w:r>
    </w:p>
    <w:tbl>
      <w:tblPr>
        <w:tblW w:type="dxa" w:w="9360"/>
        <w:tblBorders>
          <w:top w:val="single" w:color="9AA69C" w:sz="4"/>
          <w:left w:val="none"/>
          <w:bottom w:val="single" w:color="9AA69C" w:sz="4"/>
          <w:right w:val="none"/>
          <w:insideH w:val="single" w:color="D5DBD4" w:sz="2"/>
          <w:insideV w:val="none"/>
        </w:tblBorders>
      </w:tblPr>
      <w:tblGrid>
        <w:gridCol w:w="3182"/>
        <w:gridCol w:w="2059"/>
        <w:gridCol w:w="2059"/>
        <w:gridCol w:w="2060"/>
      </w:tblGrid>
      <w:tr>
        <w:trPr>
          <w:tblHeader/>
        </w:trPr>
        <w:tc>
          <w:tcPr>
            <w:tcW w:type="dxa" w:w="3182"/>
            <w:shd w:fill="E8E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Sector</w:t>
            </w:r>
          </w:p>
        </w:tc>
        <w:tc>
          <w:tcPr>
            <w:tcW w:type="dxa" w:w="2059"/>
            <w:shd w:fill="E8E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Contribution, Jun-25 window</w:t>
            </w:r>
          </w:p>
        </w:tc>
        <w:tc>
          <w:tcPr>
            <w:tcW w:type="dxa" w:w="2059"/>
            <w:shd w:fill="E8E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Contribution, Jun-26 window</w:t>
            </w:r>
          </w:p>
        </w:tc>
        <w:tc>
          <w:tcPr>
            <w:tcW w:type="dxa" w:w="2060"/>
            <w:shd w:fill="E8E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Swing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Education &amp; health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+0.97pp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+0.10pp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−0.87pp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Leisure &amp; hospitality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+0.15pp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−0.43pp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−0.57pp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Construction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+0.66pp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+0.22pp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−0.44pp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Government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+0.23pp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−0.10pp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−0.33pp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Manufacturing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+0.12pp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−0.02pp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−0.14pp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other sectors (net)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+0.35pp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+0.63pp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+0.28pp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+2.48pp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+0.42pp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−2.06pp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Everything outside four sectors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improved</w:t>
      </w:r>
      <w:r>
        <w:rPr>
          <w:rFonts w:ascii="Calibri" w:cs="Calibri" w:eastAsia="Calibri" w:hAnsi="Calibri"/>
          <w:sz w:val="21"/>
          <w:szCs w:val="21"/>
        </w:rPr>
        <w:t xml:space="preserve">. The four:</w:t>
      </w:r>
    </w:p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2E5E4E"/>
          <w:sz w:val="25"/>
          <w:szCs w:val="25"/>
        </w:rPr>
        <w:t xml:space="preserve">4.1 Government (−0.33pp swing): a self-inflicted fiscal squeeze — the clearest causal chain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Five years of Idaho income-tax cuts (~$4B cumulative, including $450M+ in 2025) met a revenue slowdown; by October 2025 the state projected an unconstitutional $56.6M FY2026 deficit. The response: holdbacks, then 4% cuts to most agencies ($131.3M) in the 2026 session.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State government employment: −7.4% YoY (June 2026).</w:t>
      </w:r>
      <w:r>
        <w:rPr>
          <w:rFonts w:ascii="Calibri" w:cs="Calibri" w:eastAsia="Calibri" w:hAnsi="Calibri"/>
          <w:sz w:val="21"/>
          <w:szCs w:val="21"/>
        </w:rPr>
        <w:t xml:space="preserve"> Federal: −5.0% (DOGE-era RIFs; Interior cut ~2,000 with BLM reductions concentrated in state offices; the shutdown furloughed Forest Service/BLM statewide). Local: three school bonds failed in November 2025; West Ada has lost 1,213 students since 2022–23 (~$2.5M less state funding next year); Boise State closed one college and merged two others in March 2026. This is policy, not economy — and its impulse largely resets: the FY2026 cuts annualize, and Idaho state revenues stabilize or the legislature cuts again, but a second −7% state-government year is not the base case.</w:t>
      </w:r>
    </w:p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2E5E4E"/>
          <w:sz w:val="25"/>
          <w:szCs w:val="25"/>
        </w:rPr>
        <w:t xml:space="preserve">4.2 Leisure &amp; hospitality (−0.57pp swing): churn plus snow, not a tourism collapse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real components: a consumer discretionary pullback hitting mid-market dining (P.F. Chang's, Blaze Pizza, ~50 documented Boise-area closures in 2025, after 58 restaurant closures in 2024 — the BLS BED data confirm establishment closures drove the losses);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worst ski winter in years</w:t>
      </w:r>
      <w:r>
        <w:rPr>
          <w:rFonts w:ascii="Calibri" w:cs="Calibri" w:eastAsia="Calibri" w:hAnsi="Calibri"/>
          <w:sz w:val="21"/>
          <w:szCs w:val="21"/>
        </w:rPr>
        <w:t xml:space="preserve"> (Bogus Basin at ~40% of average snowfall; statewide arts/entertainment/recreation −9.3% YoY); and cost pressure on low-margin operators after two years of 4–5% wage growth. What it is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not</w:t>
      </w:r>
      <w:r>
        <w:rPr>
          <w:rFonts w:ascii="Calibri" w:cs="Calibri" w:eastAsia="Calibri" w:hAnsi="Calibri"/>
          <w:sz w:val="21"/>
          <w:szCs w:val="21"/>
        </w:rPr>
        <w:t xml:space="preserve">: a visitation decline — Boise Airport set its fourth consecutive record (5.2M+ passengers in 2025) and January 2026 ran ahead of January 2025. And per Section 2, QCEW shows Ada County accommodation &amp; food services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up</w:t>
      </w:r>
      <w:r>
        <w:rPr>
          <w:rFonts w:ascii="Calibri" w:cs="Calibri" w:eastAsia="Calibri" w:hAnsi="Calibri"/>
          <w:sz w:val="21"/>
          <w:szCs w:val="21"/>
        </w:rPr>
        <w:t xml:space="preserve"> 2.0% through Q4 2025 — the CES collapse overstates whatever churn is real. A snow-normal 2026–27 winter mechanically reverses the recreation component.</w:t>
      </w:r>
    </w:p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2E5E4E"/>
          <w:sz w:val="25"/>
          <w:szCs w:val="25"/>
        </w:rPr>
        <w:t xml:space="preserve">4.3 Education &amp; health (−0.87pp swing): a hiring pause the tax records don't confirm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identifiable real pieces: Blue Cross of Idaho's 135 layoffs after losing the Medicaid dual-eligible contract; small-provider closures (BED: closing establishments accounted for 4,818 gross losses in Q3 2025 statewide); big-system cost discipline at St. Luke's and Saint Alphonsus (no layoffs or formal freezes found — attrition management, with Fitch noting "ongoing cost containment"). The counter-evidence: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QCEW Ada County health care +7.1% YoY in Q4 2025</w:t>
      </w:r>
      <w:r>
        <w:rPr>
          <w:rFonts w:ascii="Calibri" w:cs="Calibri" w:eastAsia="Calibri" w:hAnsi="Calibri"/>
          <w:sz w:val="21"/>
          <w:szCs w:val="21"/>
        </w:rPr>
        <w:t xml:space="preserve"> and hospital job postings +44% YoY in April 2026 with RNs the top-posted occupation. Forward risks are real and dated: Medicaid work requirements effective January 2027, provider rate cuts July 2027, OBBBA federal Medicaid cuts from 2027 (partially offset by Idaho's ~$186M/year from the Rural Health Transformation Program). Forward supports are equally dated: the $1.1B St. Luke's tower (2029–30 opening), the $450M Saint Alphonsus program (2028), both of which must staff up ahead of opening.</w:t>
      </w:r>
    </w:p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2E5E4E"/>
          <w:sz w:val="25"/>
          <w:szCs w:val="25"/>
        </w:rPr>
        <w:t xml:space="preserve">4.4 Construction (−0.44pp swing): normalization, not rollover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From +7.4% (T3M Jun 2025) to +2.3% — still the metro's growth leader, and QCEW says +6.7% through Q4 2025. The real events: the Micron/Exyte GC termination (200+ construction-management layoffs September 2025; Hoffman took over; total site headcount effect not public), single-family permit softness (West region −20% YoY in January 2026), and the multifamily pipeline collapse (a supply-side positive for this deal). The committed pipeline — Micron ID1/ID2, both hospital programs, the airport, Meta/Diode, the District — underwrites the sector's floor through at least 2028.</w:t>
      </w:r>
    </w:p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2E5E4E"/>
          <w:sz w:val="25"/>
          <w:szCs w:val="25"/>
        </w:rPr>
        <w:t xml:space="preserve">4.5 Where the softness actually is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QCEW cross-section (Section 2.2) locates the genuine local weakness in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finance &amp; insurance (−1.8%), professional/scientific/technical services (−1.5%), manufacturing (−1.4%), and educational services (−2.3%)</w:t>
      </w:r>
      <w:r>
        <w:rPr>
          <w:rFonts w:ascii="Calibri" w:cs="Calibri" w:eastAsia="Calibri" w:hAnsi="Calibri"/>
          <w:sz w:val="21"/>
          <w:szCs w:val="21"/>
        </w:rPr>
        <w:t xml:space="preserve"> — the white-collar office economy. This is exactly the pattern the v2 memo documented anecdotally: HP's announced exit (~1,100–1,700 jobs by end-2027), Albertsons corporate erosion, Clearwater's take-private, Cradlepoint/Ericsson and Kount/Equifax shrinkage, Wells Fargo ops wind-downs. For Seasons specifically, this is the demand segment to watch — the corridor's office parks — though Section 2's caution cuts both ways: CES shows these same sectors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improving</w:t>
      </w:r>
      <w:r>
        <w:rPr>
          <w:rFonts w:ascii="Calibri" w:cs="Calibri" w:eastAsia="Calibri" w:hAnsi="Calibri"/>
          <w:sz w:val="21"/>
          <w:szCs w:val="21"/>
        </w:rPr>
        <w:t xml:space="preserve">, and the truth likely sits between.</w:t>
      </w:r>
    </w:p>
    <w:p>
      <w:pPr>
        <w:pStyle w:val="Heading1"/>
        <w:pageBreakBefore/>
        <w:spacing w:after="160" w:before="240"/>
      </w:pPr>
      <w:r>
        <w:rPr>
          <w:rFonts w:ascii="Georgia" w:cs="Georgia" w:eastAsia="Georgia" w:hAnsi="Georgia"/>
          <w:b/>
          <w:bCs/>
          <w:color w:val="1D231F"/>
          <w:sz w:val="32"/>
          <w:szCs w:val="32"/>
        </w:rPr>
        <w:t xml:space="preserve">5. Finding 4: A Supply-Constrained Labor Market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evidence assembles into a consistent picture:</w:t>
      </w:r>
    </w:p>
    <w:tbl>
      <w:tblPr>
        <w:tblW w:type="dxa" w:w="9360"/>
        <w:tblBorders>
          <w:top w:val="single" w:color="9AA69C" w:sz="4"/>
          <w:left w:val="none"/>
          <w:bottom w:val="single" w:color="9AA69C" w:sz="4"/>
          <w:right w:val="none"/>
          <w:insideH w:val="single" w:color="D5DBD4" w:sz="2"/>
          <w:insideV w:val="none"/>
        </w:tblBorders>
      </w:tblPr>
      <w:tblGrid>
        <w:gridCol w:w="3182"/>
        <w:gridCol w:w="3089"/>
        <w:gridCol w:w="3089"/>
      </w:tblGrid>
      <w:tr>
        <w:trPr>
          <w:tblHeader/>
        </w:trPr>
        <w:tc>
          <w:tcPr>
            <w:tcW w:type="dxa" w:w="3182"/>
            <w:shd w:fill="E8E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3089"/>
            <w:shd w:fill="E8E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Reading</w:t>
            </w:r>
          </w:p>
        </w:tc>
        <w:tc>
          <w:tcPr>
            <w:tcW w:type="dxa" w:w="3089"/>
            <w:shd w:fill="E8E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Signal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Labor force (T3M YoY)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−0.79%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contracting supply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Labor-force participation (Idaho)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62.8% → 61.8% (Jan–Jun 2026)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contracting supply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Household employment (derived, T3M YoY)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−0.86%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fell before payrolls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Unemployment (T3M)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3.4% (US 4.4%)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slack build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claims (Idaho, April 2026)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~776/week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layoff wave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 postings (SW Idaho, April 2026)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+11% YoY (28,057)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demand present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Hospital postings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+44% YoY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demand present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Semiconductor postings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+92% YoY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demand present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Wage growth (Idaho, 2025)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+4.7%, 3rd-fastest in US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prices rising as quantities stall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Rising job postings, rising wages, flat unemployment, and a shrinking labor force describe an economy short of workers, not short of jobs. The supply channels: the national migration reversal (Idaho's in-migration continues — United Van Lines still ranks Idaho top-inbound — but smaller and older, with family/retirement now the top stated reasons; retirees add population and housing demand without adding labor force); unprecedented ICE enforcement (the Wilder raid, October 2025; construction-site actions in Eagle/Emmett, August 2026; the Idaho Dairymen's Association telling legislators up to 70% of dairy labor may be unauthorized); aging (wages fell from 61% to 56% of Idaho personal income, 2010–2025, as retirement income grew); and a statistical component IDOL itself flags (population-model revisions).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Implication for the asset:</w:t>
      </w:r>
      <w:r>
        <w:rPr>
          <w:rFonts w:ascii="Calibri" w:cs="Calibri" w:eastAsia="Calibri" w:hAnsi="Calibri"/>
          <w:sz w:val="21"/>
          <w:szCs w:val="21"/>
        </w:rPr>
        <w:t xml:space="preserve"> a supply-constrained labor market with top-3 wage growth is materially better for apartment demand than the payroll number implies. Renters' incomes are rising ~4–5%/year; the people not appearing in CES payrolls (retirees, remote workers, the self-employed) still lease apartments; and school-enrollment declines in West Ada — driven by housing costs pricing out young families — are, perversely, a renter-retention signal for the own-vs-rent spread documented in the v2 memo.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Post-publication addendum (Placer.ai device data, ingested Aug 13, 2026 — appendix K):</w:t>
      </w:r>
      <w:r>
        <w:rPr>
          <w:rFonts w:ascii="Calibri" w:cs="Calibri" w:eastAsia="Calibri" w:hAnsi="Calibri"/>
          <w:sz w:val="21"/>
          <w:szCs w:val="21"/>
        </w:rPr>
        <w:t xml:space="preserve"> client-provided mobile-device migration data extends the population picture through June 2026, eleven months past the last Census vintage — and it shows net migration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re-accelerating to a five-year high</w:t>
      </w:r>
      <w:r>
        <w:rPr>
          <w:rFonts w:ascii="Calibri" w:cs="Calibri" w:eastAsia="Calibri" w:hAnsi="Calibri"/>
          <w:sz w:val="21"/>
          <w:szCs w:val="21"/>
        </w:rPr>
        <w:t xml:space="preserve"> (YE June 2026: ~+11.6–12.4K net domestic, nearly double the prior year; Boise ranks #5 of 925 US CBSAs in absolute net migration and #5 by rate; Ada County ranks #8 of 3,126 US counties; the subject's own ZIP, 83642, is the metro's #1 in-migration ZIP at +2,417 and accelerating). This sharpens the reconciliation above: record population inflow alongside a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measured</w:t>
      </w:r>
      <w:r>
        <w:rPr>
          <w:rFonts w:ascii="Calibri" w:cs="Calibri" w:eastAsia="Calibri" w:hAnsi="Calibri"/>
          <w:sz w:val="21"/>
          <w:szCs w:val="21"/>
        </w:rPr>
        <w:t xml:space="preserve"> labor-force contraction is coherent only if the BLS population controls lag reality (the same artifact family as Finding 1) and/or the migrant mix skews toward non-workers — and under either reading, housing demand is running ahead of every payroll statistic in this paper.</w:t>
      </w:r>
    </w:p>
    <w:p>
      <w:pPr>
        <w:pStyle w:val="Heading1"/>
        <w:pageBreakBefore/>
        <w:spacing w:after="160" w:before="240"/>
      </w:pPr>
      <w:r>
        <w:rPr>
          <w:rFonts w:ascii="Georgia" w:cs="Georgia" w:eastAsia="Georgia" w:hAnsi="Georgia"/>
          <w:b/>
          <w:bCs/>
          <w:color w:val="1D231F"/>
          <w:sz w:val="32"/>
          <w:szCs w:val="32"/>
        </w:rPr>
        <w:t xml:space="preserve">6. Finding 5: Timeline and Momentum — the Trough Is Behind Us on Current Data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Sequential momentum (T3M level vs. six months prior, annualized, NSA — compared against like halves to control seasonality):</w:t>
      </w:r>
    </w:p>
    <w:tbl>
      <w:tblPr>
        <w:tblW w:type="dxa" w:w="9360"/>
        <w:tblBorders>
          <w:top w:val="single" w:color="9AA69C" w:sz="4"/>
          <w:left w:val="none"/>
          <w:bottom w:val="single" w:color="9AA69C" w:sz="4"/>
          <w:right w:val="none"/>
          <w:insideH w:val="single" w:color="D5DBD4" w:sz="2"/>
          <w:insideV w:val="none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8E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Period</w:t>
            </w:r>
          </w:p>
        </w:tc>
        <w:tc>
          <w:tcPr>
            <w:tcW w:type="dxa" w:w="4680"/>
            <w:shd w:fill="E8E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Annualized pace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H2 2024 (Jun→Dec 2024)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+2.84%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H1 2025 (Dec 2024→Jun 2025)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+2.12%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H2 2025 (Jun→Dec 2025)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−0.29%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H1 2026 (Dec 2025→Jun 2026)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+1.13%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contraction was concentrated in H2 2025 — the quarter of the shutdown, the Exyte termination, the state fiscal cuts, and (per Section 2) degraded survey collection. H1 2026 is running at roughly +1.1% annualized, and June 2026 printed +1.2% YoY single-month, the year's strongest. Because the T3M YoY statistic carries the H2-2025 trough in its base for another two quarters,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the published number will look worse than the current pace through year-end 2026 even if nothing further improves.</w:t>
      </w:r>
    </w:p>
    <w:p>
      <w:pPr>
        <w:pStyle w:val="Heading1"/>
        <w:pageBreakBefore/>
        <w:spacing w:after="160" w:before="240"/>
      </w:pPr>
      <w:r>
        <w:rPr>
          <w:rFonts w:ascii="Georgia" w:cs="Georgia" w:eastAsia="Georgia" w:hAnsi="Georgia"/>
          <w:b/>
          <w:bCs/>
          <w:color w:val="1D231F"/>
          <w:sz w:val="32"/>
          <w:szCs w:val="32"/>
        </w:rPr>
        <w:t xml:space="preserve">7. Finding 6: The Forward Catalyst Stack, 2027–2030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Boise's near-term catalysts are unusually dated and visible; the honest column of risks sits beside them.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Catalysts:</w:t>
      </w:r>
      <w:r>
        <w:rPr>
          <w:rFonts w:ascii="Calibri" w:cs="Calibri" w:eastAsia="Calibri" w:hAnsi="Calibri"/>
          <w:sz w:val="21"/>
          <w:szCs w:val="21"/>
        </w:rPr>
        <w:t xml:space="preserve"> Micron ID1 first DRAM output mid-2027 (~2,000 permanent fab jobs ramping through 2028+; semiconductor postings already +92%, and IDOL projects a 400–500-person semiconductor-tech shortage); Micron ID2 (late 2028); St. Luke's tower and Saint Alphonsus Nampa/Meridian openings staffing up 2028–2030; District at Ten Mile Phase 1 (spring 2027 — Target, Life Time, hotels); SH-16 freeway completion (2027); Gowen Field F-16 conversion (2027); airport program through 2029; Meta Kuna operational (late 2026). Nationally: immigration normalization (the single biggest swing factor — Brookings' 2026 scenarios span ~1.1M workers/year), Fed cuts if tariff-driven inflation fades post-Section 122 expiry, and the fiscal impulse CBO expects in 2026–27.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Risks:</w:t>
      </w:r>
      <w:r>
        <w:rPr>
          <w:rFonts w:ascii="Calibri" w:cs="Calibri" w:eastAsia="Calibri" w:hAnsi="Calibri"/>
          <w:sz w:val="21"/>
          <w:szCs w:val="21"/>
        </w:rPr>
        <w:t xml:space="preserve"> a second state-budget-cut year; OBBBA Medicaid cuts landing on hospital margins from 2027; memory-cycle risk at Micron (deeply cyclical; the 2022–23 downturn produced Boise layoffs); construction air-pocket post-2028 when the megaprojects deliver simultaneously; the white-collar erosion continuing (HP exit completes 2027); and the national break-even logic cutting both ways — with labor-force growth near zero, any national demand shock translates quickly into negative prints.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Interpretation discipline for 2027:</w:t>
      </w:r>
      <w:r>
        <w:rPr>
          <w:rFonts w:ascii="Calibri" w:cs="Calibri" w:eastAsia="Calibri" w:hAnsi="Calibri"/>
          <w:sz w:val="21"/>
          <w:szCs w:val="21"/>
        </w:rPr>
        <w:t xml:space="preserve"> with break-even near zero, a healthy 2027 labor market may print only +30–70K/month nationally and low-single-digit thousands in Boise. Judge slack by the unemployment rate, participation, and wage growth — not the payroll delta.</w:t>
      </w:r>
    </w:p>
    <w:p>
      <w:pPr>
        <w:pStyle w:val="Heading1"/>
        <w:pageBreakBefore/>
        <w:spacing w:after="160" w:before="240"/>
      </w:pPr>
      <w:r>
        <w:rPr>
          <w:rFonts w:ascii="Georgia" w:cs="Georgia" w:eastAsia="Georgia" w:hAnsi="Georgia"/>
          <w:b/>
          <w:bCs/>
          <w:color w:val="1D231F"/>
          <w:sz w:val="32"/>
          <w:szCs w:val="32"/>
        </w:rPr>
        <w:t xml:space="preserve">8. Underwriting Synthesis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The employment growth number to carry:</w:t>
      </w:r>
      <w:r>
        <w:rPr>
          <w:rFonts w:ascii="Calibri" w:cs="Calibri" w:eastAsia="Calibri" w:hAnsi="Calibri"/>
          <w:sz w:val="21"/>
          <w:szCs w:val="21"/>
        </w:rPr>
        <w:t xml:space="preserve"> the hard-count trend through the last verifiable quarter is ~+2.4%; the artifact-depressed CES print is +0.42%; the sequential 2026 pace is ~+1.1%. We recommend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+1.0–1.5%/year</w:t>
      </w:r>
      <w:r>
        <w:rPr>
          <w:rFonts w:ascii="Calibri" w:cs="Calibri" w:eastAsia="Calibri" w:hAnsi="Calibri"/>
          <w:sz w:val="21"/>
          <w:szCs w:val="21"/>
        </w:rPr>
        <w:t xml:space="preserve"> as the underwriting assumption — deliberately below the hard-data trend — with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+2.0–2.5%</w:t>
      </w:r>
      <w:r>
        <w:rPr>
          <w:rFonts w:ascii="Calibri" w:cs="Calibri" w:eastAsia="Calibri" w:hAnsi="Calibri"/>
          <w:sz w:val="21"/>
          <w:szCs w:val="21"/>
        </w:rPr>
        <w:t xml:space="preserve"> as the upside case if the September 2026 QCEW confirms continuation, and ~0% as the stress case (which, note, the market already survived in H2 2025 with 94%+ occupancy and stable rents).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Diligence checkpoint (September 2026):</w:t>
      </w:r>
      <w:r>
        <w:rPr>
          <w:rFonts w:ascii="Calibri" w:cs="Calibri" w:eastAsia="Calibri" w:hAnsi="Calibri"/>
          <w:sz w:val="21"/>
          <w:szCs w:val="21"/>
        </w:rPr>
        <w:t xml:space="preserve"> re-pull Ada/Canyon QCEW Q1 2026. This single free data pull is the highest-information test available of whether the slowdown is artifact or real, and it lands during a typical diligence window.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Demand is only partially payroll-coupled.</w:t>
      </w:r>
      <w:r>
        <w:rPr>
          <w:rFonts w:ascii="Calibri" w:cs="Calibri" w:eastAsia="Calibri" w:hAnsi="Calibri"/>
          <w:sz w:val="21"/>
          <w:szCs w:val="21"/>
        </w:rPr>
        <w:t xml:space="preserve"> Absorption of ~2,500 units/year against near-zero measured job growth in 2025–26 is itself the proof: migration (including non-working migrants), household un-bundling, and the $1,500–1,900/month own-vs-rent spread drive Boise apartment demand alongside payrolls.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The wage story is the rent story.</w:t>
      </w:r>
      <w:r>
        <w:rPr>
          <w:rFonts w:ascii="Calibri" w:cs="Calibri" w:eastAsia="Calibri" w:hAnsi="Calibri"/>
          <w:sz w:val="21"/>
          <w:szCs w:val="21"/>
        </w:rPr>
        <w:t xml:space="preserve"> Third-fastest wage growth in the nation, concentrated in a supply-constrained market, is the fundamental support for the ~3% rent growth the metro is printing — and for more once the 2026–27 supply trough bites.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Watch the white-collar column.</w:t>
      </w:r>
      <w:r>
        <w:rPr>
          <w:rFonts w:ascii="Calibri" w:cs="Calibri" w:eastAsia="Calibri" w:hAnsi="Calibri"/>
          <w:sz w:val="21"/>
          <w:szCs w:val="21"/>
        </w:rPr>
        <w:t xml:space="preserve"> The QCEW-confirmed softness (finance, professional services) maps to the subject's corridor office parks. The v2 memo's watch list (HP wind-down, Albertsons, Blue Cross landing spot, Meridian-South office backfill) remains the right early-warning set for the top of the subject's renter income distribution.</w:t>
      </w:r>
    </w:p>
    <w:p>
      <w:pPr>
        <w:pStyle w:val="Heading1"/>
        <w:pageBreakBefore/>
        <w:spacing w:after="160" w:before="240"/>
      </w:pPr>
      <w:r>
        <w:rPr>
          <w:rFonts w:ascii="Georgia" w:cs="Georgia" w:eastAsia="Georgia" w:hAnsi="Georgia"/>
          <w:b/>
          <w:bCs/>
          <w:color w:val="1D231F"/>
          <w:sz w:val="32"/>
          <w:szCs w:val="32"/>
        </w:rPr>
        <w:t xml:space="preserve">Appendix I: Methodology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T3M construction:</w:t>
      </w:r>
      <w:r>
        <w:rPr>
          <w:rFonts w:ascii="Calibri" w:cs="Calibri" w:eastAsia="Calibri" w:hAnsi="Calibri"/>
          <w:sz w:val="21"/>
          <w:szCs w:val="21"/>
        </w:rPr>
        <w:t xml:space="preserve"> 3-month arithmetic mean of NSA CES employment ending in the stated month, compared to the identical window one year prior. Sources: BLS SM flat files (`sm.data.13.Idaho`, `sm.data.54.TotalNonFarm.All`), series IDs in `appendix/E` of the deal file; US comparisons from FRED (PAYNSA and SA supersector series for shift-share).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Shift-share:</w:t>
      </w:r>
      <w:r>
        <w:rPr>
          <w:rFonts w:ascii="Calibri" w:cs="Calibri" w:eastAsia="Calibri" w:hAnsi="Calibri"/>
          <w:sz w:val="21"/>
          <w:szCs w:val="21"/>
        </w:rPr>
        <w:t xml:space="preserve"> expected sector change = Boise sector base employment (prior-year T3M) × national sector T3M YoY growth; local residual = actual − expected. National sector rates use SA series (YoY comparisons are insensitive to seasonal adjustment).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QCEW:</w:t>
      </w:r>
      <w:r>
        <w:rPr>
          <w:rFonts w:ascii="Calibri" w:cs="Calibri" w:eastAsia="Calibri" w:hAnsi="Calibri"/>
          <w:sz w:val="21"/>
          <w:szCs w:val="21"/>
        </w:rPr>
        <w:t xml:space="preserve"> BLS QCEW open-data API, county area files (16001 Ada, 16027 Canyon), total covered employment = own_code 0 / industry 10, quarterly average of the three monthly employment levels; sector rows own_code 5 (private), 2-digit NAICS. Q4 2025 is the latest available quarter (published June 2026); Q1 2026 publishes ~September 2026.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Household employment:</w:t>
      </w:r>
      <w:r>
        <w:rPr>
          <w:rFonts w:ascii="Calibri" w:cs="Calibri" w:eastAsia="Calibri" w:hAnsi="Calibri"/>
          <w:sz w:val="21"/>
          <w:szCs w:val="21"/>
        </w:rPr>
        <w:t xml:space="preserve"> derived as labor force × (1 − unemployment rate) from FRED BOIS216LFN and BOIS216URN (LAUS). October 2025 is missing from the source series (shutdown-period gap).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Momentum:</w:t>
      </w:r>
      <w:r>
        <w:rPr>
          <w:rFonts w:ascii="Calibri" w:cs="Calibri" w:eastAsia="Calibri" w:hAnsi="Calibri"/>
          <w:sz w:val="21"/>
          <w:szCs w:val="21"/>
        </w:rPr>
        <w:t xml:space="preserve"> T3M level vs the T3M level six months earlier, annualized ((a/b)² − 1); NSA, therefore compared only against like halves of prior years.</w:t>
      </w:r>
    </w:p>
    <w:p>
      <w:pPr>
        <w:pStyle w:val="Heading1"/>
        <w:pageBreakBefore/>
        <w:spacing w:after="160" w:before="240"/>
      </w:pPr>
      <w:r>
        <w:rPr>
          <w:rFonts w:ascii="Georgia" w:cs="Georgia" w:eastAsia="Georgia" w:hAnsi="Georgia"/>
          <w:b/>
          <w:bCs/>
          <w:color w:val="1D231F"/>
          <w:sz w:val="32"/>
          <w:szCs w:val="32"/>
        </w:rPr>
        <w:t xml:space="preserve">Appendix II: Contested-Claims Register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AI displacement magnitude</w:t>
      </w:r>
      <w:r>
        <w:rPr>
          <w:rFonts w:ascii="Calibri" w:cs="Calibri" w:eastAsia="Calibri" w:hAnsi="Calibri"/>
          <w:sz w:val="21"/>
          <w:szCs w:val="21"/>
        </w:rPr>
        <w:t xml:space="preserve"> — occupation-level effects credible (Stanford/ADP); aggregate effect unproven (Yale Budget Lab finds none). No payroll attribution assigned.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Tariff job-loss attribution</w:t>
      </w:r>
      <w:r>
        <w:rPr>
          <w:rFonts w:ascii="Calibri" w:cs="Calibri" w:eastAsia="Calibri" w:hAnsi="Calibri"/>
          <w:sz w:val="21"/>
          <w:szCs w:val="21"/>
        </w:rPr>
        <w:t xml:space="preserve"> — direction (negative-to-zero for manufacturing) is consensus; magnitude contested (CAP −89K vs Cato/AEI near-zero).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2025 net migration level</w:t>
      </w:r>
      <w:r>
        <w:rPr>
          <w:rFonts w:ascii="Calibri" w:cs="Calibri" w:eastAsia="Calibri" w:hAnsi="Calibri"/>
          <w:sz w:val="21"/>
          <w:szCs w:val="21"/>
        </w:rPr>
        <w:t xml:space="preserve"> — Brookings (−295K to −10K) vs CBO (+400K); enforcement-driven voluntary exit is the swing variable.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Supply vs demand shares of the national stall</w:t>
      </w:r>
      <w:r>
        <w:rPr>
          <w:rFonts w:ascii="Calibri" w:cs="Calibri" w:eastAsia="Calibri" w:hAnsi="Calibri"/>
          <w:sz w:val="21"/>
          <w:szCs w:val="21"/>
        </w:rPr>
        <w:t xml:space="preserve"> — Fed/Goldman lean supply; COVID-low hires rate argues meaningful demand weakness. Treated as joint.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Boise QCEW-CES divergence</w:t>
      </w:r>
      <w:r>
        <w:rPr>
          <w:rFonts w:ascii="Calibri" w:cs="Calibri" w:eastAsia="Calibri" w:hAnsi="Calibri"/>
          <w:sz w:val="21"/>
          <w:szCs w:val="21"/>
        </w:rPr>
        <w:t xml:space="preserve"> — our artifact finding rests on preliminary Q4 2025 QCEW; it reverses only if QCEW revisions are unusually large or Q1–Q2 2026 QCEW confirms the CES cliff.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Micron site headcount post-Exyte</w:t>
      </w:r>
      <w:r>
        <w:rPr>
          <w:rFonts w:ascii="Calibri" w:cs="Calibri" w:eastAsia="Calibri" w:hAnsi="Calibri"/>
          <w:sz w:val="21"/>
          <w:szCs w:val="21"/>
        </w:rPr>
        <w:t xml:space="preserve"> — termination and 200+ layoffs documented; net site construction employment change not public.</w:t>
      </w:r>
    </w:p>
    <w:p>
      <w:pPr>
        <w:pStyle w:val="Heading1"/>
        <w:pageBreakBefore/>
        <w:spacing w:after="160" w:before="240"/>
      </w:pPr>
      <w:r>
        <w:rPr>
          <w:rFonts w:ascii="Georgia" w:cs="Georgia" w:eastAsia="Georgia" w:hAnsi="Georgia"/>
          <w:b/>
          <w:bCs/>
          <w:color w:val="1D231F"/>
          <w:sz w:val="32"/>
          <w:szCs w:val="32"/>
        </w:rPr>
        <w:t xml:space="preserve">Appendix III: Evidence Gaps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1. Boise hotel occupancy/RevPAR 2025–26 (STR data needed).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2. Ada–Canyon building-permit counts for 2025–H1 2026 (COMPASS/Census BPS pull recommended).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3. Formal hospital-system hiring-policy statements (none public; visible only in aggregate data).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4. Quantified immigration-enforcement employment effects for the Boise MSA.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5. (Valuation items moved to the separate `valuation/` workstream.)</w:t>
      </w:r>
    </w:p>
    <w:p>
      <w:pPr>
        <w:pStyle w:val="Heading1"/>
        <w:pageBreakBefore/>
        <w:spacing w:after="160" w:before="240"/>
      </w:pPr>
      <w:r>
        <w:rPr>
          <w:rFonts w:ascii="Georgia" w:cs="Georgia" w:eastAsia="Georgia" w:hAnsi="Georgia"/>
          <w:b/>
          <w:bCs/>
          <w:color w:val="1D231F"/>
          <w:sz w:val="32"/>
          <w:szCs w:val="32"/>
        </w:rPr>
        <w:t xml:space="preserve">Appendix IV: Cross-Metro CES–QCEW Evidence (added Aug 13, 2026)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To test whether the Boise survey-vs-tax-records divergence (Finding 1) is idiosyncratic, the same comparison was computed for nine peer metros (full table, method, and mechanism discussion in deal-file appendix J):</w:t>
      </w:r>
    </w:p>
    <w:tbl>
      <w:tblPr>
        <w:tblW w:type="dxa" w:w="9360"/>
        <w:tblBorders>
          <w:top w:val="single" w:color="9AA69C" w:sz="4"/>
          <w:left w:val="none"/>
          <w:bottom w:val="single" w:color="9AA69C" w:sz="4"/>
          <w:right w:val="none"/>
          <w:insideH w:val="single" w:color="D5DBD4" w:sz="2"/>
          <w:insideV w:val="none"/>
        </w:tblBorders>
      </w:tblPr>
      <w:tblGrid>
        <w:gridCol w:w="3182"/>
        <w:gridCol w:w="1545"/>
        <w:gridCol w:w="1545"/>
        <w:gridCol w:w="1545"/>
        <w:gridCol w:w="1543"/>
      </w:tblGrid>
      <w:tr>
        <w:trPr>
          <w:tblHeader/>
        </w:trPr>
        <w:tc>
          <w:tcPr>
            <w:tcW w:type="dxa" w:w="3182"/>
            <w:shd w:fill="E8E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Metro</w:t>
            </w:r>
          </w:p>
        </w:tc>
        <w:tc>
          <w:tcPr>
            <w:tcW w:type="dxa" w:w="1545"/>
            <w:shd w:fill="E8E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CES T3M Dec-25</w:t>
            </w:r>
          </w:p>
        </w:tc>
        <w:tc>
          <w:tcPr>
            <w:tcW w:type="dxa" w:w="1545"/>
            <w:shd w:fill="E8E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QCEW Q4-25</w:t>
            </w:r>
          </w:p>
        </w:tc>
        <w:tc>
          <w:tcPr>
            <w:tcW w:type="dxa" w:w="1545"/>
            <w:shd w:fill="E8E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Gap</w:t>
            </w:r>
          </w:p>
        </w:tc>
        <w:tc>
          <w:tcPr>
            <w:tcW w:type="dxa" w:w="1543"/>
            <w:shd w:fill="E8E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CES T3M Jun-26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Boise</w:t>
            </w:r>
          </w:p>
        </w:tc>
        <w:tc>
          <w:tcPr>
            <w:tcW w:type="dxa" w:w="1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+0.91%</w:t>
            </w:r>
          </w:p>
        </w:tc>
        <w:tc>
          <w:tcPr>
            <w:tcW w:type="dxa" w:w="1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+2.32%</w:t>
            </w:r>
          </w:p>
        </w:tc>
        <w:tc>
          <w:tcPr>
            <w:tcW w:type="dxa" w:w="1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−1.41</w:t>
            </w:r>
          </w:p>
        </w:tc>
        <w:tc>
          <w:tcPr>
            <w:tcW w:type="dxa" w:w="15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+0.42%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Austin</w:t>
            </w:r>
          </w:p>
        </w:tc>
        <w:tc>
          <w:tcPr>
            <w:tcW w:type="dxa" w:w="1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+1.27%</w:t>
            </w:r>
          </w:p>
        </w:tc>
        <w:tc>
          <w:tcPr>
            <w:tcW w:type="dxa" w:w="1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+2.48%</w:t>
            </w:r>
          </w:p>
        </w:tc>
        <w:tc>
          <w:tcPr>
            <w:tcW w:type="dxa" w:w="1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−1.21</w:t>
            </w:r>
          </w:p>
        </w:tc>
        <w:tc>
          <w:tcPr>
            <w:tcW w:type="dxa" w:w="15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+1.24%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Salt Lake City</w:t>
            </w:r>
          </w:p>
        </w:tc>
        <w:tc>
          <w:tcPr>
            <w:tcW w:type="dxa" w:w="1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+0.82%</w:t>
            </w:r>
          </w:p>
        </w:tc>
        <w:tc>
          <w:tcPr>
            <w:tcW w:type="dxa" w:w="1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+1.72%</w:t>
            </w:r>
          </w:p>
        </w:tc>
        <w:tc>
          <w:tcPr>
            <w:tcW w:type="dxa" w:w="1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−0.90</w:t>
            </w:r>
          </w:p>
        </w:tc>
        <w:tc>
          <w:tcPr>
            <w:tcW w:type="dxa" w:w="15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+2.09%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Baton Rouge</w:t>
            </w:r>
          </w:p>
        </w:tc>
        <w:tc>
          <w:tcPr>
            <w:tcW w:type="dxa" w:w="1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−0.79%</w:t>
            </w:r>
          </w:p>
        </w:tc>
        <w:tc>
          <w:tcPr>
            <w:tcW w:type="dxa" w:w="1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+0.06%</w:t>
            </w:r>
          </w:p>
        </w:tc>
        <w:tc>
          <w:tcPr>
            <w:tcW w:type="dxa" w:w="1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−0.85</w:t>
            </w:r>
          </w:p>
        </w:tc>
        <w:tc>
          <w:tcPr>
            <w:tcW w:type="dxa" w:w="15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+1.85%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Las Vegas</w:t>
            </w:r>
          </w:p>
        </w:tc>
        <w:tc>
          <w:tcPr>
            <w:tcW w:type="dxa" w:w="1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+1.14%</w:t>
            </w:r>
          </w:p>
        </w:tc>
        <w:tc>
          <w:tcPr>
            <w:tcW w:type="dxa" w:w="1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+1.93%</w:t>
            </w:r>
          </w:p>
        </w:tc>
        <w:tc>
          <w:tcPr>
            <w:tcW w:type="dxa" w:w="1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−0.79</w:t>
            </w:r>
          </w:p>
        </w:tc>
        <w:tc>
          <w:tcPr>
            <w:tcW w:type="dxa" w:w="15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+2.26%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Reno</w:t>
            </w:r>
          </w:p>
        </w:tc>
        <w:tc>
          <w:tcPr>
            <w:tcW w:type="dxa" w:w="1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+1.64%</w:t>
            </w:r>
          </w:p>
        </w:tc>
        <w:tc>
          <w:tcPr>
            <w:tcW w:type="dxa" w:w="1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+2.15%</w:t>
            </w:r>
          </w:p>
        </w:tc>
        <w:tc>
          <w:tcPr>
            <w:tcW w:type="dxa" w:w="1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−0.50</w:t>
            </w:r>
          </w:p>
        </w:tc>
        <w:tc>
          <w:tcPr>
            <w:tcW w:type="dxa" w:w="15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+1.63%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Dallas–Fort Worth</w:t>
            </w:r>
          </w:p>
        </w:tc>
        <w:tc>
          <w:tcPr>
            <w:tcW w:type="dxa" w:w="1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+0.59%</w:t>
            </w:r>
          </w:p>
        </w:tc>
        <w:tc>
          <w:tcPr>
            <w:tcW w:type="dxa" w:w="1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+0.80%</w:t>
            </w:r>
          </w:p>
        </w:tc>
        <w:tc>
          <w:tcPr>
            <w:tcW w:type="dxa" w:w="1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−0.21</w:t>
            </w:r>
          </w:p>
        </w:tc>
        <w:tc>
          <w:tcPr>
            <w:tcW w:type="dxa" w:w="15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+0.84%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Houston</w:t>
            </w:r>
          </w:p>
        </w:tc>
        <w:tc>
          <w:tcPr>
            <w:tcW w:type="dxa" w:w="1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+0.31%</w:t>
            </w:r>
          </w:p>
        </w:tc>
        <w:tc>
          <w:tcPr>
            <w:tcW w:type="dxa" w:w="1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+0.48%</w:t>
            </w:r>
          </w:p>
        </w:tc>
        <w:tc>
          <w:tcPr>
            <w:tcW w:type="dxa" w:w="1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−0.17</w:t>
            </w:r>
          </w:p>
        </w:tc>
        <w:tc>
          <w:tcPr>
            <w:tcW w:type="dxa" w:w="15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+0.66%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Phoenix</w:t>
            </w:r>
          </w:p>
        </w:tc>
        <w:tc>
          <w:tcPr>
            <w:tcW w:type="dxa" w:w="1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−0.03%</w:t>
            </w:r>
          </w:p>
        </w:tc>
        <w:tc>
          <w:tcPr>
            <w:tcW w:type="dxa" w:w="1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+0.08%</w:t>
            </w:r>
          </w:p>
        </w:tc>
        <w:tc>
          <w:tcPr>
            <w:tcW w:type="dxa" w:w="1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−0.11</w:t>
            </w:r>
          </w:p>
        </w:tc>
        <w:tc>
          <w:tcPr>
            <w:tcW w:type="dxa" w:w="15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+0.93%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Denver</w:t>
            </w:r>
          </w:p>
        </w:tc>
        <w:tc>
          <w:tcPr>
            <w:tcW w:type="dxa" w:w="1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−0.11%</w:t>
            </w:r>
          </w:p>
        </w:tc>
        <w:tc>
          <w:tcPr>
            <w:tcW w:type="dxa" w:w="1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−0.37%</w:t>
            </w:r>
          </w:p>
        </w:tc>
        <w:tc>
          <w:tcPr>
            <w:tcW w:type="dxa" w:w="1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+0.26</w:t>
            </w:r>
          </w:p>
        </w:tc>
        <w:tc>
          <w:tcPr>
            <w:tcW w:type="dxa" w:w="15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−0.09%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Three conclusions.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First</w:t>
      </w:r>
      <w:r>
        <w:rPr>
          <w:rFonts w:ascii="Calibri" w:cs="Calibri" w:eastAsia="Calibri" w:hAnsi="Calibri"/>
          <w:sz w:val="21"/>
          <w:szCs w:val="21"/>
        </w:rPr>
        <w:t xml:space="preserve">, the Q4 2025 understatement is systematic: the survey printed below the tax records in nine of ten metros in the shutdown quarter, after agreeing within ±0.3pp in seven of ten the quarter before.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Second</w:t>
      </w:r>
      <w:r>
        <w:rPr>
          <w:rFonts w:ascii="Calibri" w:cs="Calibri" w:eastAsia="Calibri" w:hAnsi="Calibri"/>
          <w:sz w:val="21"/>
          <w:szCs w:val="21"/>
        </w:rPr>
        <w:t xml:space="preserve">, the gap scales with actual growth — fast-formation metros (Boise, Austin, SLC, Vegas, Reno) show gaps of −0.5 to −1.4pp while flat metros (Phoenix, Denver, Houston) show none — the birth-death fingerprint: the model's error is proportional to how far actual business formation deviates from its modeled baseline. Boise, the smallest fast-growth metro in the set, is the extreme case, not an outlier in kind.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Third</w:t>
      </w:r>
      <w:r>
        <w:rPr>
          <w:rFonts w:ascii="Calibri" w:cs="Calibri" w:eastAsia="Calibri" w:hAnsi="Calibri"/>
          <w:sz w:val="21"/>
          <w:szCs w:val="21"/>
        </w:rPr>
        <w:t xml:space="preserve">, the honest wrinkle: several peers' CES prints recovered sharply by mid-2026 (Vegas +2.26%, SLC +2.09%) while Boise's has not — consistent with a small panel re-anchoring slowly (implying true Boise growth near +1.8%), but not provable until the Q1 2026 QCEW publishes in September 2026, which remains the diligence checkpoint.</w:t>
      </w:r>
    </w:p>
    <w:p>
      <w:pPr>
        <w:pStyle w:val="Heading1"/>
        <w:pageBreakBefore/>
        <w:spacing w:after="160" w:before="240"/>
      </w:pPr>
      <w:r>
        <w:rPr>
          <w:rFonts w:ascii="Georgia" w:cs="Georgia" w:eastAsia="Georgia" w:hAnsi="Georgia"/>
          <w:b/>
          <w:bCs/>
          <w:color w:val="1D231F"/>
          <w:sz w:val="32"/>
          <w:szCs w:val="32"/>
        </w:rPr>
        <w:t xml:space="preserve">Appendix V: Placer.ai Migration Evidence (added Aug 13, 2026)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Client-provided Placer.ai device-based migration exports (eight files, archived in the deal file's `data/placerai/`; full analysis in appendix K) extend the demand picture through June 2026:</w:t>
      </w:r>
    </w:p>
    <w:tbl>
      <w:tblPr>
        <w:tblW w:type="dxa" w:w="9360"/>
        <w:tblBorders>
          <w:top w:val="single" w:color="9AA69C" w:sz="4"/>
          <w:left w:val="none"/>
          <w:bottom w:val="single" w:color="9AA69C" w:sz="4"/>
          <w:right w:val="none"/>
          <w:insideH w:val="single" w:color="D5DBD4" w:sz="2"/>
          <w:insideV w:val="none"/>
        </w:tblBorders>
      </w:tblPr>
      <w:tblGrid>
        <w:gridCol w:w="3182"/>
        <w:gridCol w:w="3089"/>
        <w:gridCol w:w="3089"/>
      </w:tblGrid>
      <w:tr>
        <w:trPr>
          <w:tblHeader/>
        </w:trPr>
        <w:tc>
          <w:tcPr>
            <w:tcW w:type="dxa" w:w="3182"/>
            <w:shd w:fill="E8E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Measure</w:t>
            </w:r>
          </w:p>
        </w:tc>
        <w:tc>
          <w:tcPr>
            <w:tcW w:type="dxa" w:w="3089"/>
            <w:shd w:fill="E8E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YE Jun 2025</w:t>
            </w:r>
          </w:p>
        </w:tc>
        <w:tc>
          <w:tcPr>
            <w:tcW w:type="dxa" w:w="3089"/>
            <w:shd w:fill="E8E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YE Jun 2026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Boise MSA net domestic migration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+6,051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+11,647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growth (incl. natural + international)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+13,042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+18,769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Gross inbound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21,134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27,875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Valley ZIP-level net (independent cut)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+6,045</w:t>
            </w:r>
          </w:p>
        </w:tc>
        <w:tc>
          <w:tcPr>
            <w:tcW w:type="dxa" w:w="3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+10,445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Boise ranks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#5 of 925 US CBSAs</w:t>
      </w:r>
      <w:r>
        <w:rPr>
          <w:rFonts w:ascii="Calibri" w:cs="Calibri" w:eastAsia="Calibri" w:hAnsi="Calibri"/>
          <w:sz w:val="21"/>
          <w:szCs w:val="21"/>
        </w:rPr>
        <w:t xml:space="preserve"> in absolute net migration (+12,398 per the national file) and #5 by rate (+1.45%) — ahead of Phoenix (+744), Denver (+1,046), SLC (+1,530), and Las Vegas (−3,950) combined. California supplies 47% of the net inflow; the Washington DC feeder doubled year-over-year (+338, $127K feeder MHHI) — the federal-exodus channel landing in Boise.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Ada County is the #8 migration county in America (+8,552, +1.58%). ZIP 83642 — containing the subject — is the metro's #1 net-in-migration ZIP (+2,417, +34.7/1,000, accelerating +1,077 over the prior year), while north Meridian (83646) decelerated — growth is rotating into the subject's corridor.</w:t>
      </w:r>
      <w:r>
        <w:rPr>
          <w:rFonts w:ascii="Calibri" w:cs="Calibri" w:eastAsia="Calibri" w:hAnsi="Calibri"/>
          <w:sz w:val="21"/>
          <w:szCs w:val="21"/>
        </w:rPr>
        <w:t xml:space="preserve"> In-migrant income matches incumbent income (ratio ~1.00): the metro is importing its own income distribution.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Caveats: the three Placer exports give net-migration levels of +8.5K/+11.6K/+12.4K for the same year (table truncation vs model totals) — treat the level as ~+11–12K and the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near-doubling trend</w:t>
      </w:r>
      <w:r>
        <w:rPr>
          <w:rFonts w:ascii="Calibri" w:cs="Calibri" w:eastAsia="Calibri" w:hAnsi="Calibri"/>
          <w:sz w:val="21"/>
          <w:szCs w:val="21"/>
        </w:rPr>
        <w:t xml:space="preserve"> as the robust finding; device-panel levels are model outputs, most reliable in year-over-year comparison within the same methodology. Official confirmation arrives with Census Vintage 2026 (December 2026–March 2027), which joins the September 2026 QCEW pull as the second diligence checkpoint.</w:t>
      </w:r>
    </w:p>
    <w:p>
      <w:pPr>
        <w:pStyle w:val="Heading1"/>
        <w:pageBreakBefore/>
        <w:spacing w:after="160" w:before="240"/>
      </w:pPr>
      <w:r>
        <w:rPr>
          <w:rFonts w:ascii="Georgia" w:cs="Georgia" w:eastAsia="Georgia" w:hAnsi="Georgia"/>
          <w:b/>
          <w:bCs/>
          <w:color w:val="1D231F"/>
          <w:sz w:val="32"/>
          <w:szCs w:val="32"/>
        </w:rPr>
        <w:t xml:space="preserve">Appendix VI: Source Base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This paper synthesizes two commissioned research streams (national causes; Boise local causes — preserved in full with URLs as deal-file appendices G and H; a third stream on Class A comps/replacement cost was moved to the deal file's `valuation/` folder as a separate workstream), the prior research streams behind the v2 memo (appendices A–D), Placer.ai client-provided migration data (appendix K, raw exports in `data/placerai/`), and original computation (appendices E and J + `t3m_sectors.json`, `crossmetro.json`). Principal primary sources: BLS (CES flat files, QCEW API, BED, OEWS, JOLTS, benchmark documentation), FRED, Idaho Department of Labor (releases, EORAC 2026 outlook), Placer.ai, Idaho Capital Sun, BoiseDev, Idaho Statesman/Press, Idaho EdNews, Dallas/St. Louis/Cleveland/Chicago/KC Federal Reserve Banks, Brookings/AEI, CBO, Yale Budget Lab, Stanford Digital Economy Lab, and City of Meridian records. ~200 distinct citations across the appendix set.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2026-08-13T18:34:38.023Z</dcterms:created>
  <dcterms:modified xsi:type="dcterms:W3CDTF">2026-08-13T18:34:38.032Z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