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4.jpg" ContentType="image/jpeg"/>
  <Override PartName="/word/media/rId54.jpg" ContentType="image/jpeg"/>
  <Override PartName="/word/media/rId22.jpg" ContentType="image/jpeg"/>
  <Override PartName="/word/media/rId59.jpg" ContentType="image/jpeg"/>
  <Override PartName="/word/media/rId49.jpg" ContentType="image/jpe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Evidence accumulation modelling offers new insights into the cognitive mechanisms that underlie linguistic and action-based training</w:t>
      </w:r>
    </w:p>
    <w:p>
      <w:pPr>
        <w:pStyle w:val="Author"/>
      </w:pPr>
      <w:r>
        <w:t xml:space="preserve">Samantha Parker</w:t>
      </w:r>
      <w:r>
        <w:rPr>
          <w:vertAlign w:val="superscript"/>
        </w:rPr>
        <w:t xml:space="preserve">1</w:t>
      </w:r>
      <w:r>
        <w:t xml:space="preserve">, Emily S. Cross</w:t>
      </w:r>
      <w:r>
        <w:rPr>
          <w:vertAlign w:val="superscript"/>
        </w:rPr>
        <w:t xml:space="preserve">2</w:t>
      </w:r>
      <w:r>
        <w:t xml:space="preserve">, &amp; Richard Ramsey</w:t>
      </w:r>
      <w:r>
        <w:rPr>
          <w:vertAlign w:val="superscript"/>
        </w:rPr>
        <w:t xml:space="preserve">2</w:t>
      </w:r>
    </w:p>
    <w:p>
      <w:pPr>
        <w:pStyle w:val="Author"/>
      </w:pPr>
      <w:r>
        <w:rPr>
          <w:vertAlign w:val="superscript"/>
        </w:rPr>
        <w:t xml:space="preserve">1</w:t>
      </w:r>
      <w:r>
        <w:t xml:space="preserve"> </w:t>
      </w:r>
      <w:r>
        <w:t xml:space="preserve">Macquarie University</w:t>
      </w:r>
    </w:p>
    <w:p>
      <w:pPr>
        <w:pStyle w:val="Author"/>
      </w:pPr>
      <w:r>
        <w:rPr>
          <w:vertAlign w:val="superscript"/>
        </w:rPr>
        <w:t xml:space="preserve">2</w:t>
      </w:r>
      <w:r>
        <w:t xml:space="preserve"> </w:t>
      </w:r>
      <w:r>
        <w:t xml:space="preserve">ETH Zürich</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Samantha Parker. School of Psychological Sciences, Macquarie University.</w:t>
      </w:r>
      <w:r>
        <w:t xml:space="preserve"> </w:t>
      </w:r>
      <w:r>
        <w:t xml:space="preserve">Emily S. Cross. Social Brain Sciences Lab, Department of Humanities, Social and Political Sciences (D-GESS), ETH Zürich.</w:t>
      </w:r>
      <w:r>
        <w:t xml:space="preserve"> </w:t>
      </w:r>
      <w:r>
        <w:t xml:space="preserve">Richard Ramsey. Neural Control of Movement Lab, Department of Health Sciences and Technology (D-HEST) and Social Brain Sciences Lab, Department of Humanities, Social and Political Sciences (D-GESS), ETH Zürich.</w:t>
      </w:r>
      <w:r>
        <w:t xml:space="preserve"> </w:t>
      </w:r>
    </w:p>
    <w:p>
      <w:pPr>
        <w:pStyle w:val="authornote"/>
      </w:pPr>
      <w:r>
        <w:t xml:space="preserve">The authors made the following contributions. Samantha Parker: Conceptualization, Data curation, Formal analysis, Writing - Original Draft Preparation, Writing - Review &amp; Editing; Emily S. Cross: Conceptualization, Resources, Writing - Review &amp; Editing; Richard Ramsey: Conceptualization, Visualisation, Supervision, Project Administration, Validation, Writing - Review &amp; Editing.</w:t>
      </w:r>
    </w:p>
    <w:p>
      <w:pPr>
        <w:pStyle w:val="authornote"/>
      </w:pPr>
      <w:r>
        <w:t xml:space="preserve">Correspondence concerning this article should be addressed to Richard Ramsey, ETH Zurich. E-mail:</w:t>
      </w:r>
      <w:r>
        <w:t xml:space="preserve"> </w:t>
      </w:r>
      <w:hyperlink r:id="rId20">
        <w:r>
          <w:rPr>
            <w:rStyle w:val="Hyperlink"/>
          </w:rPr>
          <w:t xml:space="preserve">richard.ramsey@hest.ethz.ch</w:t>
        </w:r>
      </w:hyperlink>
    </w:p>
    <w:p>
      <w:pPr>
        <w:pStyle w:val="h1-pagebreak"/>
      </w:pPr>
      <w:r>
        <w:t xml:space="preserve">Abstract</w:t>
      </w:r>
    </w:p>
    <w:p>
      <w:pPr>
        <w:pStyle w:val="Textkrper"/>
      </w:pPr>
      <w:r>
        <w:t xml:space="preserve">Evidence accumulation modelling has been shown to uncover new insights into the cognitive mechanisms that underlie decision making from behavioural data. By jointly modelling reaction time and accuracy data, such decision models estimate latent variables that represent distinct computaitonal processes, such as stimulus encoding, response caution and the quality of information processing. In this study we used an evidence accumulation model, the Linear Ballistic Accumulator (LBA), to shed new light into the mechanisms that underlie learning based on linguistic and action-based training. The LBA model was applied to behavioural data from a previously published training study where participants learned to name, tie or name and tie a set of knots. Our results showed that training is multifaceted and associated with an increase in stimulus-encoding time, a reduction in response caution, as well as an increase in the speed of information accumulation. Furthermore, the results showed that there was an added benefit to the rate of evidence accumulation when naming and tying experience were combined. This latter finding suggests that performance benefits from multi-modal training may be instantiated in computational processes that are associated with the quantity and quality of information accumulation during decision making. Overall, in applying this computational approach to accuracy and reaction time data, we uncover new insights into the mechanisms that govern experience-dependent plasticity.</w:t>
      </w:r>
    </w:p>
    <w:p>
      <w:pPr>
        <w:pStyle w:val="Textkrper"/>
      </w:pPr>
      <w:r>
        <w:rPr>
          <w:i/>
          <w:iCs/>
        </w:rPr>
        <w:t xml:space="preserve">Keywords:</w:t>
      </w:r>
      <w:r>
        <w:t xml:space="preserve"> </w:t>
      </w:r>
      <w:r>
        <w:t xml:space="preserve">evidence accumulation modelling, training, learning, action, naming, cognitive mechanisms, plasticity</w:t>
      </w:r>
    </w:p>
    <w:p>
      <w:pPr>
        <w:pStyle w:val="Textkrper"/>
      </w:pPr>
      <w:r>
        <w:rPr>
          <w:i/>
          <w:iCs/>
        </w:rPr>
        <w:t xml:space="preserve">Word count:</w:t>
      </w:r>
      <w:r>
        <w:t xml:space="preserve"> </w:t>
      </w:r>
      <w:r>
        <w:t xml:space="preserve">5588</w:t>
      </w:r>
    </w:p>
    <w:p>
      <w:pPr>
        <w:pStyle w:val="h1-pagebreak"/>
      </w:pPr>
      <w:r>
        <w:t xml:space="preserve">Evidence accumulation modelling offers new insights into the cognitive mechanisms that underlie linguistic and action-based training</w:t>
      </w:r>
    </w:p>
    <w:bookmarkStart w:id="29" w:name="introduction"/>
    <w:p>
      <w:pPr>
        <w:pStyle w:val="berschrift1"/>
      </w:pPr>
      <w:r>
        <w:t xml:space="preserve">Introduction</w:t>
      </w:r>
    </w:p>
    <w:p>
      <w:pPr>
        <w:pStyle w:val="FirstParagraph"/>
      </w:pPr>
      <w:r>
        <w:t xml:space="preserve">Evidence accumulation models are a class of computational model</w:t>
      </w:r>
      <w:r>
        <w:rPr>
          <w:rStyle w:val="Funotenzeichen"/>
        </w:rPr>
        <w:footnoteReference w:id="21"/>
      </w:r>
      <w:r>
        <w:t xml:space="preserve"> </w:t>
      </w:r>
      <w:r>
        <w:t xml:space="preserve">used to understand the latent cognitive processes that underlie human decision making</w:t>
      </w:r>
      <w:r>
        <w:t xml:space="preserve"> </w:t>
      </w:r>
      <w:r>
        <w:t xml:space="preserve">(Farrell &amp; Lewandowsky, 2018)</w:t>
      </w:r>
      <w:r>
        <w:t xml:space="preserve">. These models use the speed and accuracy of responses in forced-choice tasks to draw insights about the psychological mechanisms that underlie decision making. The application of this modelling approach within the domain of cognitive psychology has led to a number of novel insights about the mechanisms that underlie processes such as lexical decision making</w:t>
      </w:r>
      <w:r>
        <w:t xml:space="preserve"> </w:t>
      </w:r>
      <w:r>
        <w:t xml:space="preserve">(Wagenmakers, Ratcliff, Gomez, &amp; McKoon, 2008)</w:t>
      </w:r>
      <w:r>
        <w:t xml:space="preserve">, ageing</w:t>
      </w:r>
      <w:r>
        <w:t xml:space="preserve"> </w:t>
      </w:r>
      <w:r>
        <w:t xml:space="preserve">(Ratcliff, Thapar, &amp; McKoon, 2001, 2010)</w:t>
      </w:r>
      <w:r>
        <w:t xml:space="preserve"> </w:t>
      </w:r>
      <w:r>
        <w:t xml:space="preserve">and perceptual discrimination</w:t>
      </w:r>
      <w:r>
        <w:t xml:space="preserve"> </w:t>
      </w:r>
      <w:r>
        <w:t xml:space="preserve">(Ratcliff &amp; McKoon, 2008)</w:t>
      </w:r>
      <w:r>
        <w:t xml:space="preserve">. Importantly, these insights are often not evident from more conventional analyses of accuracy and reaction time data. Given these characteristics, we applied an evidence accumulation model, the Linear Ballistic Accumulator (LBA;</w:t>
      </w:r>
      <w:r>
        <w:t xml:space="preserve"> </w:t>
      </w:r>
      <w:r>
        <w:t xml:space="preserve">Brown and Heathcote (2008)</w:t>
      </w:r>
      <w:r>
        <w:t xml:space="preserve">), to behavioural data from a prior published study that used neuroimaging to examine the effects of different types of training on object knowledge and perception</w:t>
      </w:r>
      <w:r>
        <w:t xml:space="preserve"> </w:t>
      </w:r>
      <w:r>
        <w:t xml:space="preserve">(Cross et al., 2012)</w:t>
      </w:r>
      <w:r>
        <w:t xml:space="preserve">. In contrast to the original study’s analysis, which analysed accuracy and reaction time separately, in this paper we apply an evidence accumulation model to uncover novel insights into the latent computational processes that underlie linguistic and action-based learning.</w:t>
      </w:r>
    </w:p>
    <w:p>
      <w:pPr>
        <w:pStyle w:val="Textkrper"/>
      </w:pPr>
      <w:r>
        <w:t xml:space="preserve">Whilst it is common for researchers to draw conclusions from a separate analysis of accuracy and reaction time, it is unclear how to interpret such differences in terms of overall performance</w:t>
      </w:r>
      <w:r>
        <w:t xml:space="preserve"> </w:t>
      </w:r>
      <w:r>
        <w:t xml:space="preserve">(Wagenmakers, Van Der Maas, &amp; Grasman, 2007)</w:t>
      </w:r>
      <w:r>
        <w:t xml:space="preserve">. This is because reaction time and accuracy data are incommensurable: it is not possible to know how much a change in speed, of say 50ms, is worth in terms of accuracy</w:t>
      </w:r>
      <w:r>
        <w:t xml:space="preserve"> </w:t>
      </w:r>
      <w:r>
        <w:t xml:space="preserve">(Farrell &amp; Lewandowsky, 2018; Wagenmakers et al., 2007)</w:t>
      </w:r>
      <w:r>
        <w:t xml:space="preserve">. Evidence accumulation models provide a principled way to combine accuracy and reaction time data to enable more direct insight into the processes that underlie speeded decisions</w:t>
      </w:r>
      <w:r>
        <w:t xml:space="preserve"> </w:t>
      </w:r>
      <w:r>
        <w:t xml:space="preserve">(Brown &amp; Heathcote, 2008; Ratcliff, 2002)</w:t>
      </w:r>
      <w:r>
        <w:t xml:space="preserve">. They do so by using the distribution of reaction times for correct and error responses to estimate latent parameters. While there are many different varieties of evidence accumulation model, they all share similar assumptions about the decision making process</w:t>
      </w:r>
      <w:r>
        <w:t xml:space="preserve"> </w:t>
      </w:r>
      <w:r>
        <w:t xml:space="preserve">(Donkin, Averell, Brown, &amp; Heathcote, 2009)</w:t>
      </w:r>
      <w:r>
        <w:t xml:space="preserve">. Namely, these models assume that when making a decision, evidence is sampled from the environment and that information is used as evidence for one of the potential responses. As soon as evidence in favour of a particular response reaches a threshold, the decision process is terminated and the corresponding response is made</w:t>
      </w:r>
      <w:r>
        <w:t xml:space="preserve"> </w:t>
      </w:r>
      <w:r>
        <w:t xml:space="preserve">(Heathcote et al., 2019; Myers, Interian, &amp; Moustafa, 2022; Ratcliff, Smith, Brown, &amp; McKoon, 2016)</w:t>
      </w:r>
      <w:r>
        <w:t xml:space="preserve">.</w:t>
      </w:r>
    </w:p>
    <w:p>
      <w:pPr>
        <w:pStyle w:val="Textkrper"/>
      </w:pPr>
      <w:r>
        <w:t xml:space="preserve">Within the context of the LBA model, four latent components of the decision making process are frequently estimated (Figure 1; Table 1): the rate at which evidence accumulates in favour of a decision (drift rate), how much evidence is required before a response is reached (threshold), the amount of evidence in favour of a response that exists at the outset of a decision (start point) and the amount of time it takes to complete all processes that are thought to fall outside the decision, including stimulus encoding and motor responding (non-decision time). These parameters map onto psychology constructs of interest (Table 1). Threshold, for example, can account for differences in response caution, such that responses could take longer but are more likely to be correct. Drift rate, on the other hand, is thought to reflect the signal-to-noise ratio of the stimulus. Drift rate, therefore, measures both the quantity and the quality of information in the system and can provide a direct measure of task difficult or subject ability</w:t>
      </w:r>
      <w:r>
        <w:t xml:space="preserve"> </w:t>
      </w:r>
      <w:r>
        <w:t xml:space="preserve">(Lewandowsky &amp; Oberauer, 2018)</w:t>
      </w:r>
      <w:r>
        <w:t xml:space="preserve">.</w:t>
      </w:r>
    </w:p>
    <w:p>
      <w:pPr>
        <w:pStyle w:val="CaptionedFigure"/>
      </w:pPr>
      <w:r>
        <w:drawing>
          <wp:inline>
            <wp:extent cx="3810000" cy="2540000"/>
            <wp:effectExtent b="0" l="0" r="0" t="0"/>
            <wp:docPr descr="Figure 1: The linear ballistic accumulator (LBA) model. The LBA has a separate accumulator for each of two response options (Accumulator 1 and Accumulator 2). From a start point (A), evidence accumuates for each response option according to the drift rate (v) and a decision is triggered when the first accumulator passes the threhsold (b). These three parameters together constitute the decision time. And overall response time is calculated by the addition of this decision time to the non-decision time (t0). See Table 1 for a description of how these parameters can be mapped onto psychological constructs." title="" id="23" name="Picture"/>
            <a:graphic>
              <a:graphicData uri="http://schemas.openxmlformats.org/drawingml/2006/picture">
                <pic:pic>
                  <pic:nvPicPr>
                    <pic:cNvPr descr="../figures/ea/lba_schematic.jpeg" id="24" name="Picture"/>
                    <pic:cNvPicPr>
                      <a:picLocks noChangeArrowheads="1" noChangeAspect="1"/>
                    </pic:cNvPicPr>
                  </pic:nvPicPr>
                  <pic:blipFill>
                    <a:blip r:embed="rId2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25" w:name="fig:lba-schematic-plot"/>
      <w:bookmarkEnd w:id="25"/>
      <w:r>
        <w:rPr>
          <w:i/>
          <w:iCs/>
        </w:rPr>
        <w:t xml:space="preserve">Figure</w:t>
      </w:r>
      <w:r>
        <w:t xml:space="preserve"> </w:t>
      </w:r>
      <w:r>
        <w:t xml:space="preserve">1. The linear ballistic accumulator (LBA) model. The LBA has a separate accumulator for each of two response options (Accumulator 1 and Accumulator 2). From a start point (A), evidence accumuates for each response option according to the drift rate (v) and a decision is triggered when the first accumulator passes the threhsold (b). These three parameters together constitute the decision time. And overall response time is calculated by the addition of this decision time to the non-decision time (t0). See Table 1 for a description of how these parameters can be mapped onto psychological constructs.</w:t>
      </w:r>
    </w:p>
    <w:p>
      <w:pPr>
        <w:pStyle w:val="TableCaption"/>
      </w:pPr>
      <w:bookmarkStart w:id="26" w:name="tab:lba-table"/>
      <w:bookmarkEnd w:id="26"/>
      <w:r>
        <w:t xml:space="preserve">Table 1</w:t>
      </w:r>
      <w:r>
        <w:br/>
      </w:r>
      <w:r>
        <w:rPr>
          <w:i/>
          <w:iCs/>
        </w:rPr>
        <w:t xml:space="preserve">Key</w:t>
      </w:r>
      <w:r>
        <w:rPr>
          <w:i/>
          <w:iCs/>
        </w:rPr>
        <w:t xml:space="preserve"> </w:t>
      </w:r>
      <w:r>
        <w:rPr>
          <w:i/>
          <w:iCs/>
        </w:rPr>
        <w:t xml:space="preserve">parameters</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linear</w:t>
      </w:r>
      <w:r>
        <w:rPr>
          <w:i/>
          <w:iCs/>
        </w:rPr>
        <w:t xml:space="preserve"> </w:t>
      </w:r>
      <w:r>
        <w:rPr>
          <w:i/>
          <w:iCs/>
        </w:rPr>
        <w:t xml:space="preserve">ballistic</w:t>
      </w:r>
      <w:r>
        <w:rPr>
          <w:i/>
          <w:iCs/>
        </w:rPr>
        <w:t xml:space="preserve"> </w:t>
      </w:r>
      <w:r>
        <w:rPr>
          <w:i/>
          <w:iCs/>
        </w:rPr>
        <w:t xml:space="preserve">accumulator</w:t>
      </w:r>
      <w:r>
        <w:rPr>
          <w:i/>
          <w:iCs/>
        </w:rPr>
        <w:t xml:space="preserve"> </w:t>
      </w:r>
      <w:r>
        <w:rPr>
          <w:i/>
          <w:iCs/>
        </w:rPr>
        <w:t xml:space="preserve">model.</w:t>
      </w:r>
    </w:p>
    <w:tbl>
      <w:tblPr>
        <w:tblStyle w:val="Table"/>
        <w:tblW w:type="auto" w:w="0"/>
        <w:tblLook w:firstRow="1" w:lastRow="0" w:firstColumn="0" w:lastColumn="0" w:noHBand="0" w:noVBand="0" w:val="0020"/>
        <w:tblCaption w:val="Table 1 Key parameters in the linear ballistic accumulator model."/>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Label</w:t>
            </w:r>
          </w:p>
        </w:tc>
        <w:tc>
          <w:tcPr/>
          <w:p>
            <w:pPr>
              <w:pStyle w:val="Compact"/>
              <w:jc w:val="left"/>
            </w:pPr>
            <w:r>
              <w:t xml:space="preserve">Construct</w:t>
            </w:r>
          </w:p>
        </w:tc>
      </w:tr>
      <w:tr>
        <w:tc>
          <w:tcPr/>
          <w:p>
            <w:pPr>
              <w:pStyle w:val="Compact"/>
              <w:jc w:val="left"/>
            </w:pPr>
            <w:r>
              <w:t xml:space="preserve">Start point</w:t>
            </w:r>
          </w:p>
        </w:tc>
        <w:tc>
          <w:tcPr/>
          <w:p>
            <w:pPr>
              <w:pStyle w:val="Compact"/>
              <w:jc w:val="left"/>
            </w:pPr>
            <w:r>
              <w:t xml:space="preserve">A</w:t>
            </w:r>
          </w:p>
        </w:tc>
        <w:tc>
          <w:tcPr/>
          <w:p>
            <w:pPr>
              <w:pStyle w:val="Compact"/>
              <w:jc w:val="left"/>
            </w:pPr>
            <w:r>
              <w:t xml:space="preserve">response bias</w:t>
            </w:r>
          </w:p>
        </w:tc>
      </w:tr>
      <w:tr>
        <w:tc>
          <w:tcPr/>
          <w:p>
            <w:pPr>
              <w:pStyle w:val="Compact"/>
              <w:jc w:val="left"/>
            </w:pPr>
            <w:r>
              <w:t xml:space="preserve">Drift rate</w:t>
            </w:r>
          </w:p>
        </w:tc>
        <w:tc>
          <w:tcPr/>
          <w:p>
            <w:pPr>
              <w:pStyle w:val="Compact"/>
              <w:jc w:val="left"/>
            </w:pPr>
            <w:r>
              <w:t xml:space="preserve">v</w:t>
            </w:r>
          </w:p>
        </w:tc>
        <w:tc>
          <w:tcPr/>
          <w:p>
            <w:pPr>
              <w:pStyle w:val="Compact"/>
              <w:jc w:val="left"/>
            </w:pPr>
            <w:r>
              <w:t xml:space="preserve">signal-to-noise ratio</w:t>
            </w:r>
          </w:p>
        </w:tc>
      </w:tr>
      <w:tr>
        <w:tc>
          <w:tcPr/>
          <w:p>
            <w:pPr>
              <w:pStyle w:val="Compact"/>
              <w:jc w:val="left"/>
            </w:pPr>
            <w:r>
              <w:t xml:space="preserve">Threshold</w:t>
            </w:r>
          </w:p>
        </w:tc>
        <w:tc>
          <w:tcPr/>
          <w:p>
            <w:pPr>
              <w:pStyle w:val="Compact"/>
              <w:jc w:val="left"/>
            </w:pPr>
            <w:r>
              <w:t xml:space="preserve">b</w:t>
            </w:r>
          </w:p>
        </w:tc>
        <w:tc>
          <w:tcPr/>
          <w:p>
            <w:pPr>
              <w:pStyle w:val="Compact"/>
              <w:jc w:val="left"/>
            </w:pPr>
            <w:r>
              <w:t xml:space="preserve">response caution</w:t>
            </w:r>
          </w:p>
        </w:tc>
      </w:tr>
      <w:tr>
        <w:tc>
          <w:tcPr/>
          <w:p>
            <w:pPr>
              <w:pStyle w:val="Compact"/>
              <w:jc w:val="left"/>
            </w:pPr>
            <w:r>
              <w:t xml:space="preserve">Non-decision time</w:t>
            </w:r>
          </w:p>
        </w:tc>
        <w:tc>
          <w:tcPr/>
          <w:p>
            <w:pPr>
              <w:pStyle w:val="Compact"/>
              <w:jc w:val="left"/>
            </w:pPr>
            <w:r>
              <w:t xml:space="preserve">t0</w:t>
            </w:r>
          </w:p>
        </w:tc>
        <w:tc>
          <w:tcPr/>
          <w:p>
            <w:pPr>
              <w:pStyle w:val="Compact"/>
              <w:jc w:val="left"/>
            </w:pPr>
            <w:r>
              <w:t xml:space="preserve">stimulus encoding and motor response</w:t>
            </w:r>
          </w:p>
        </w:tc>
      </w:tr>
    </w:tbl>
    <w:p>
      <w:pPr>
        <w:pStyle w:val="Textkrper"/>
      </w:pPr>
      <w:r>
        <w:t xml:space="preserve">Understanding how experience shapes the latent processes underlying decision-making has recently started to emerge from a small number of perceptual discrimination tasks, with the majority of studies using either random dot motion</w:t>
      </w:r>
      <w:r>
        <w:t xml:space="preserve"> </w:t>
      </w:r>
      <w:r>
        <w:t xml:space="preserve">(Cochrane, Sims, Bejjanki, Green, &amp; Bavelier, 2023)</w:t>
      </w:r>
      <w:r>
        <w:t xml:space="preserve"> </w:t>
      </w:r>
      <w:r>
        <w:t xml:space="preserve">or lexical discrimination tasks</w:t>
      </w:r>
      <w:r>
        <w:t xml:space="preserve"> </w:t>
      </w:r>
      <w:r>
        <w:t xml:space="preserve">(Dutilh, Krypotos, &amp; Wagenmakers, 2011)</w:t>
      </w:r>
      <w:r>
        <w:t xml:space="preserve">. These studies typically investigate training related changes that are induced by task repetition</w:t>
      </w:r>
      <w:r>
        <w:t xml:space="preserve"> </w:t>
      </w:r>
      <w:r>
        <w:t xml:space="preserve">(Dutilh et al., 2011; Dutilh, Vandekerckhove, Tuerlinckx, &amp; Wagenmakers, 2009)</w:t>
      </w:r>
      <w:r>
        <w:t xml:space="preserve">. Threshold and drift rate findings from these studies have led some authors to suggest that task repetition may induce a shift to prioritise speed over accuracy (lower caution), as well as to increase the quality of evidence accumulation (higher drift rate)</w:t>
      </w:r>
      <w:r>
        <w:t xml:space="preserve"> </w:t>
      </w:r>
      <w:r>
        <w:t xml:space="preserve">(Dutilh et al., 2011; Dutilh et al., 2009; Liu &amp; Watanabe, 2012; Ratcliff, Thapar, &amp; McKoon, 2006; Reinhartz, Strobach, Jacobsen, &amp; von Bastian, 2023; Zhang &amp; Rowe, 2014)</w:t>
      </w:r>
      <w:r>
        <w:t xml:space="preserve">. The influence of training on non-decision time has less consistently been reported in the literature, with some studies suggesting that training decreases non-decision timing (Dutilh et al., 2011; Dutilh et al., 2009) and other studies reporting no influence on this parameter</w:t>
      </w:r>
      <w:r>
        <w:t xml:space="preserve"> </w:t>
      </w:r>
      <w:r>
        <w:t xml:space="preserve">(Strobach, Liepelt, Pashler, Frensch, &amp; Schubert, 2013)</w:t>
      </w:r>
      <w:r>
        <w:t xml:space="preserve">. Moreover, given that perceptual training that extends beyond task repetition can enrich or embue the stimulus with richer information</w:t>
      </w:r>
      <w:r>
        <w:t xml:space="preserve"> </w:t>
      </w:r>
      <w:r>
        <w:t xml:space="preserve">(Cross et al., 2012; Martin, 2007)</w:t>
      </w:r>
      <w:r>
        <w:t xml:space="preserve">, we also think that it is plausible that different types of training, which extend beyond task repetition, could result in a longer stimulus encoding time and thus a longer non-decision time.</w:t>
      </w:r>
    </w:p>
    <w:p>
      <w:pPr>
        <w:pStyle w:val="Textkrper"/>
      </w:pPr>
      <w:r>
        <w:t xml:space="preserve">In the present paper, we use an evidence accumulation approach to shed new light on the mechanisms that underlie two kinds of learning based on different types of training experience. Specifically, we apply the LBA model (Brown &amp; Heathcote, 2008) to behavioural data from an existing multi-session training dataset that taught participants how to name, tie and name and tie novel knots (Cross et al., 2012).</w:t>
      </w:r>
      <w:r>
        <w:rPr>
          <w:rStyle w:val="Funotenzeichen"/>
        </w:rPr>
        <w:footnoteReference w:id="27"/>
      </w:r>
      <w:r>
        <w:t xml:space="preserve"> </w:t>
      </w:r>
      <w:r>
        <w:t xml:space="preserve">By doing so, we are able to study how the acquisition of different types of knowledge (linguistic vs. action knowledge vs. linguistic and action knowledge) impacts the computational processes that support perceptual decision making. Our hypotheses were based on past studies of repeated visual exposure/familiarity (Dutilh et al., 2011; Dutilh et al., 2009; Zhang &amp; Rowe, 2014). If learning to name or tie knots has a similar impact to task repetition, then compared to no training, learning to name, tie or name and tie knots should be associated with (1) an increase in drift rate; (2) a decrease in response caution; (3) a decrease in non-decision time or (4) some combination of these factors.</w:t>
      </w:r>
      <w:r>
        <w:rPr>
          <w:rStyle w:val="Funotenzeichen"/>
        </w:rPr>
        <w:footnoteReference w:id="28"/>
      </w:r>
      <w:r>
        <w:t xml:space="preserve"> </w:t>
      </w:r>
      <w:r>
        <w:t xml:space="preserve">Comparisons between training conditions (naming vs. tying vs. naming &amp; tying), would then reveal if the pattern or size of training effects differ between condition.</w:t>
      </w:r>
    </w:p>
    <w:bookmarkEnd w:id="29"/>
    <w:bookmarkStart w:id="43" w:name="methods"/>
    <w:p>
      <w:pPr>
        <w:pStyle w:val="berschrift1"/>
      </w:pPr>
      <w:r>
        <w:t xml:space="preserve">Methods</w:t>
      </w:r>
    </w:p>
    <w:bookmarkStart w:id="32" w:name="transparency-and-openness-statement"/>
    <w:p>
      <w:pPr>
        <w:pStyle w:val="berschrift2"/>
      </w:pPr>
      <w:r>
        <w:t xml:space="preserve">Transparency and Openness Statement</w:t>
      </w:r>
    </w:p>
    <w:p>
      <w:pPr>
        <w:pStyle w:val="FirstParagraph"/>
      </w:pPr>
      <w:r>
        <w:t xml:space="preserve">We report how we determined our sample size, all data exclusions (if any), all manipulations, and all measures in the study</w:t>
      </w:r>
      <w:r>
        <w:t xml:space="preserve"> </w:t>
      </w:r>
      <w:r>
        <w:t xml:space="preserve">(Simmons, Nelson, &amp; Simonsohn, 2012)</w:t>
      </w:r>
      <w:r>
        <w:t xml:space="preserve">. In addition, the hypotheses and planned analysis for this paper were preregistered in advance (see our pre-registration here:</w:t>
      </w:r>
      <w:r>
        <w:t xml:space="preserve"> </w:t>
      </w:r>
      <w:hyperlink r:id="rId30">
        <w:r>
          <w:rPr>
            <w:rStyle w:val="Hyperlink"/>
          </w:rPr>
          <w:t xml:space="preserve">https://aspredicted.org/6ztj-45s5.pdf</w:t>
        </w:r>
      </w:hyperlink>
      <w:r>
        <w:t xml:space="preserve">). Given that we used secondary data in this study, we did not have a stopping rule in terms of data collection because we did not collect any data. Instead, we simply aimed to use as much of the existing data as possible based on availability.</w:t>
      </w:r>
    </w:p>
    <w:p>
      <w:pPr>
        <w:pStyle w:val="Textkrper"/>
      </w:pPr>
      <w:r>
        <w:t xml:space="preserve">We deviated from our pre-registration in one way. Originally, we had intended to include data from the pre- and post-training session in one model. However, the model building process could not be completed with pre- and post-training session data included, due to the large number of parameters being fit and the model failing to converge. Instead, we modelled pre- and post-training data separately and then compared the parameter estimates from the posterior distributions. By doing so, the number of parameters was reduced by half and the models could converge. All other aspects of the pre-registration were unchanged.</w:t>
      </w:r>
    </w:p>
    <w:p>
      <w:pPr>
        <w:pStyle w:val="Textkrper"/>
      </w:pPr>
      <w:r>
        <w:t xml:space="preserve">The analysis code used in this paper is available online, and the manuscript was written in R using the papaja() package</w:t>
      </w:r>
      <w:r>
        <w:t xml:space="preserve"> </w:t>
      </w:r>
      <w:r>
        <w:t xml:space="preserve">(Aust &amp; Barth, 2025)</w:t>
      </w:r>
      <w:r>
        <w:t xml:space="preserve">, which means it is computationally reproducible. The code and manuscript are available via GitHub (</w:t>
      </w:r>
      <w:hyperlink r:id="rId31">
        <w:r>
          <w:rPr>
            <w:rStyle w:val="Hyperlink"/>
          </w:rPr>
          <w:t xml:space="preserve">https://github.com/rich-ramsey/knot_dmc</w:t>
        </w:r>
      </w:hyperlink>
      <w:r>
        <w:t xml:space="preserve">). Given that the data were collected in 2006, it was not yet routine to request explicit consent to share data publicly. Therefore, the raw data are only available from the authors upon request. With this said, for the purposes of code checking and computational reproducibility, we provide simulated data, which is based on the structure of the raw data. This means that our data processing workflow can be checked and verified by others even without requesting the raw data.</w:t>
      </w:r>
    </w:p>
    <w:bookmarkEnd w:id="32"/>
    <w:bookmarkStart w:id="37" w:name="dataset"/>
    <w:p>
      <w:pPr>
        <w:pStyle w:val="berschrift2"/>
      </w:pPr>
      <w:r>
        <w:t xml:space="preserve">Dataset</w:t>
      </w:r>
    </w:p>
    <w:p>
      <w:pPr>
        <w:pStyle w:val="FirstParagraph"/>
      </w:pPr>
      <w:r>
        <w:t xml:space="preserve">We applied the LBA model to data from a previously published study that was conducted in 2006 (Cross et al., 2012). Cross and colleagues (2012) used fMRI to examine brain activity whilst participants completed a speeded perceptual discrimination task before and after training (Figure 2). Training consisted of participants learning to name 10 knots, tie 10 knots and name and tie a further 10 knots, while a final 10 knots remained untrained (i.e., no information about how to tie the knot or what it was called was experienced during the training period). Before and after the knot training portion of the study, participants were required to complete 80 trials of a perceptual discrimination task. In this task, participants had to decide whether two photographs were of the same or different knots. Each pair of knots was selected from the same learning class (i.e., name, tie, both name and tie or untrained knots). When photographs were of the same knot, the viewing angle of the two photographs differed, so the stimuli presented were never identical. Of the 80 trials, 50% of the knots were the same and 50% of the knots were different. Both accuracy and response times (ms) of the perceptual discrimination task were recorded. As we were interested in modelling only the behavioural results of the perceptual discrimination task, we summarise the aspects of the dataset relevant to the present study below and refer readers to the original paper for all other details (see Cross et al., 2012).</w:t>
      </w:r>
    </w:p>
    <w:p>
      <w:pPr>
        <w:pStyle w:val="CaptionedFigure"/>
      </w:pPr>
      <w:r>
        <w:drawing>
          <wp:inline>
            <wp:extent cx="5969000" cy="5130918"/>
            <wp:effectExtent b="0" l="0" r="0" t="0"/>
            <wp:docPr descr="Figure 2: Experimental procedure and design. A) 5 days of training were interspersed between identical pre-training and post-training sessions, where participants performed 80 trials of a forced choice task. The forced-choice task required making a judgment as to whether two knots were the same or different. B) Training comprised watching video stimuli for approximately the same amount of time for knots they were meant to learn to name, to tie, and to both name and tie. A further 10 knots from the pre-training session were not seen again until the post-training session and these knots formed the untrained condition." title="" id="34" name="Picture"/>
            <a:graphic>
              <a:graphicData uri="http://schemas.openxmlformats.org/drawingml/2006/picture">
                <pic:pic>
                  <pic:nvPicPr>
                    <pic:cNvPr descr="../figures/method/design.png" id="35" name="Picture"/>
                    <pic:cNvPicPr>
                      <a:picLocks noChangeArrowheads="1" noChangeAspect="1"/>
                    </pic:cNvPicPr>
                  </pic:nvPicPr>
                  <pic:blipFill>
                    <a:blip r:embed="rId33"/>
                    <a:stretch>
                      <a:fillRect/>
                    </a:stretch>
                  </pic:blipFill>
                  <pic:spPr bwMode="auto">
                    <a:xfrm>
                      <a:off x="0" y="0"/>
                      <a:ext cx="5969000" cy="5130918"/>
                    </a:xfrm>
                    <a:prstGeom prst="rect">
                      <a:avLst/>
                    </a:prstGeom>
                    <a:noFill/>
                    <a:ln w="9525">
                      <a:noFill/>
                      <a:headEnd/>
                      <a:tailEnd/>
                    </a:ln>
                  </pic:spPr>
                </pic:pic>
              </a:graphicData>
            </a:graphic>
          </wp:inline>
        </w:drawing>
      </w:r>
    </w:p>
    <w:p>
      <w:pPr>
        <w:pStyle w:val="ImageCaption"/>
      </w:pPr>
      <w:bookmarkStart w:id="36" w:name="fig:design-plot"/>
      <w:bookmarkEnd w:id="36"/>
      <w:r>
        <w:rPr>
          <w:i/>
          <w:iCs/>
        </w:rPr>
        <w:t xml:space="preserve">Figure</w:t>
      </w:r>
      <w:r>
        <w:t xml:space="preserve"> </w:t>
      </w:r>
      <w:r>
        <w:t xml:space="preserve">2. Experimental procedure and design. A) 5 days of training were interspersed between identical pre-training and post-training sessions, where participants performed 80 trials of a forced choice task. The forced-choice task required making a judgment as to whether two knots were the same or different. B) Training comprised watching video stimuli for approximately the same amount of time for knots they were meant to learn to name, to tie, and to both name and tie. A further 10 knots from the pre-training session were not seen again until the post-training session and these knots formed the untrained condition.</w:t>
      </w:r>
    </w:p>
    <w:p>
      <w:pPr>
        <w:pStyle w:val="Textkrper"/>
      </w:pPr>
      <w:r>
        <w:t xml:space="preserve">The data included in the present paper differed from that reported by Cross and colleagues (2012) in a number of key ways. First, while 30 participants took part in the behavioural portion of the original study, only data from the 20 participants who comprised the final fMRI sample were available for re-analysis. A further two participants were excluded from further analysis as they did not complete the final session of the perceptual discrimination task. Therefore, 18 participants, all right-handed (Oldfield, 1971) and neurologically healthy undergraduate and graduate students, were included in the present study (M = 19.4 years, age ranged from 17 – 27 years). We do not have access to information on the gender of participants, but we note from the original publication that of the 20 participants that completed the fMRI component of the study, 14 were female (Cross et al., 2012). This means that our sample of 18 participants is predominantly female.</w:t>
      </w:r>
    </w:p>
    <w:p>
      <w:pPr>
        <w:pStyle w:val="Textkrper"/>
      </w:pPr>
      <w:r>
        <w:t xml:space="preserve">Second, unlike Cross and colleagues (2012) who included the post-training session across all five days in their analysis of accuracy and RT, we included only the post-training session on the final day of training (day 5 post-training) and compared it to the pre-training data (day 1 pre-training). The benefit of including only the final post-training sessions was a computationally simpler model that could nonetheless still estimate the impact of linguistic and action-based knowledge on latent cognitive processes.</w:t>
      </w:r>
    </w:p>
    <w:p>
      <w:pPr>
        <w:pStyle w:val="Textkrper"/>
      </w:pPr>
      <w:r>
        <w:t xml:space="preserve">The present study, therefore, had a single within-subjects factor of training type with four levels (untrained/naming/tying/both) (Figure 2B). During naming training, participants were shown a video of a knot being rotated through 360 degrees with the name displayed in the top right-hand corner of the screen. During tying training, participants were shown a video of how to tie the knot from a first-person perspective and instructed to correctly tie each of the knots in this category by following along with the video at least once per day of training. During both naming and tying training participants were shown a video of how to tie the knot with the name of the knot displayed in the top right-hand corner of the screen and were instructed to correctly tie each of the knots in this category at least once per day of training. Knots in the untrained condition received no training during the experiment and were therefore largely unfamiliar to participants in the sense that they were only ever seen as image pairs in the perceptual discrimination task. Assignment of each of the 40 knots was counterbalanced across training condition and participant.</w:t>
      </w:r>
    </w:p>
    <w:bookmarkEnd w:id="37"/>
    <w:bookmarkStart w:id="42" w:name="lba-data-analysis"/>
    <w:p>
      <w:pPr>
        <w:pStyle w:val="berschrift2"/>
      </w:pPr>
      <w:r>
        <w:t xml:space="preserve">LBA data analysis</w:t>
      </w:r>
    </w:p>
    <w:bookmarkStart w:id="39" w:name="model-specification"/>
    <w:p>
      <w:pPr>
        <w:pStyle w:val="berschrift3"/>
      </w:pPr>
      <w:r>
        <w:t xml:space="preserve">Model Specification.</w:t>
      </w:r>
    </w:p>
    <w:p>
      <w:pPr>
        <w:pStyle w:val="FirstParagraph"/>
      </w:pPr>
      <w:r>
        <w:t xml:space="preserve">We fit a LBA model to each participants’ data for the pre-training session and the final post-training session. The LBA model has one accumulator for each response, each with potentially different parameter values. In this design, that meant that there was one accumulator for pairs of knots that were the same and another accumulator for pairs of knots that were different. Each accumulator possessed the following parameters; start point (A), representing the amount of information in each accumulator at the beginning of a decision; threshold (b) which represents the amount of evidence necessary in order to trigger a decision (in the present study this was represented in terms of the difference between the top of the start point distribution and the response threshold (</w:t>
      </w:r>
      <m:oMath>
        <m:r>
          <m:t>B</m:t>
        </m:r>
        <m:r>
          <m:rPr>
            <m:sty m:val="p"/>
          </m:rPr>
          <m:t>=</m:t>
        </m:r>
        <m:r>
          <m:t>b</m:t>
        </m:r>
        <m:r>
          <m:rPr>
            <m:sty m:val="p"/>
          </m:rPr>
          <m:t>−</m:t>
        </m:r>
        <m:r>
          <m:t>A</m:t>
        </m:r>
        <m:r>
          <m:rPr>
            <m:sty m:val="p"/>
          </m:rPr>
          <m:t>≥</m:t>
        </m:r>
        <m:r>
          <m:t>0</m:t>
        </m:r>
      </m:oMath>
      <w:r>
        <w:t xml:space="preserve">); drift rate (v) the rate at which evidence accumulates for each response; and non-decision time (</w:t>
      </w:r>
      <m:oMath>
        <m:r>
          <m:t>T</m:t>
        </m:r>
        <m:r>
          <m:t>e</m:t>
        </m:r>
        <m:r>
          <m:t>r</m:t>
        </m:r>
        <m:r>
          <m:rPr>
            <m:sty m:val="p"/>
          </m:rPr>
          <m:t>≥</m:t>
        </m:r>
        <m:r>
          <m:t>0</m:t>
        </m:r>
      </m:oMath>
      <w:r>
        <w:t xml:space="preserve">) the amount of time it takes to complete all other processes that fall outside the decision making process, including stimulus encoding and motor responding.</w:t>
      </w:r>
    </w:p>
    <w:p>
      <w:pPr>
        <w:pStyle w:val="Textkrper"/>
      </w:pPr>
      <w:r>
        <w:t xml:space="preserve">The way we specified the model formula is summarised in Table 2. We allowed the threshold parameter to vary by Training Condition (name, tie, both, untrained) and Response (participant’s response as to whether the two knots match vs. no-match). The drift rate parameter was allowed to vary by Training Condition and an accumulator match factor, which denotes the match between the accumulator and the stimulus. Specifically, if the stimulus displayed two of the same knots, then the accumulator for the</w:t>
      </w:r>
      <w:r>
        <w:t xml:space="preserve"> </w:t>
      </w:r>
      <w:r>
        <w:t xml:space="preserve">“match”</w:t>
      </w:r>
      <w:r>
        <w:t xml:space="preserve"> </w:t>
      </w:r>
      <w:r>
        <w:t xml:space="preserve">response was the TRUE or matching accumulator, whereas the accumulator for the</w:t>
      </w:r>
      <w:r>
        <w:t xml:space="preserve"> </w:t>
      </w:r>
      <w:r>
        <w:t xml:space="preserve">“no match”</w:t>
      </w:r>
      <w:r>
        <w:t xml:space="preserve"> </w:t>
      </w:r>
      <w:r>
        <w:t xml:space="preserve">response would be the FALSE or mismatching accumulator. In this way the difference between the TRUE and FALSE accumulator captures both the quantity and quality of information accumulating about the stimulus. The larger the difference between the TRUE and FALSE accumulators, the higher the quality of information accumulating in favour of that response (Lewandowsky &amp; Oberauer, 2018). Given this, we operationalised drift rate as the difference between the TRUE and FALSE accumulator (TRUE &gt; FALSE). The standard deviation for the TRUE accumulator was allowed to vary by the accumulator match factor, whereas the standard deviation for the FALSE accumulator was fixed at 1 to make the model identifiable (Donkin et al., 2009). The non-decision time parameter was allowed to vary by Training Condition, while the standard deviation of non-decision time was fixed at 0. We fixed a single value for start point noise (A).</w:t>
      </w:r>
    </w:p>
    <w:p>
      <w:pPr>
        <w:pStyle w:val="Textkrper"/>
      </w:pPr>
      <w:r>
        <w:t xml:space="preserve">(ref:lba-formula-note) This tables denotes how parameters in the LBA model could vary by experimental factors and which parameters were fixed. Condition = training condition (untrained, name, tie, name and tie); Response = key-press response (same vs. different); Accuracy = (true/correct vs false/incorrect); SD = standard deviation.</w:t>
      </w:r>
    </w:p>
    <w:p>
      <w:pPr>
        <w:pStyle w:val="TableCaption"/>
      </w:pPr>
      <w:bookmarkStart w:id="38" w:name="tab:lba-formula-table"/>
      <w:bookmarkEnd w:id="38"/>
      <w:r>
        <w:t xml:space="preserve">Table 2</w:t>
      </w:r>
      <w:r>
        <w:br/>
      </w:r>
      <w:r>
        <w:rPr>
          <w:i/>
          <w:iCs/>
        </w:rPr>
        <w:t xml:space="preserve">Model</w:t>
      </w:r>
      <w:r>
        <w:rPr>
          <w:i/>
          <w:iCs/>
        </w:rPr>
        <w:t xml:space="preserve"> </w:t>
      </w:r>
      <w:r>
        <w:rPr>
          <w:i/>
          <w:iCs/>
        </w:rPr>
        <w:t xml:space="preserve">formula</w:t>
      </w:r>
      <w:r>
        <w:rPr>
          <w:i/>
          <w:iCs/>
        </w:rPr>
        <w:t xml:space="preserve"> </w:t>
      </w:r>
      <w:r>
        <w:rPr>
          <w:i/>
          <w:iCs/>
        </w:rPr>
        <w:t xml:space="preserve">specification</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linear</w:t>
      </w:r>
      <w:r>
        <w:rPr>
          <w:i/>
          <w:iCs/>
        </w:rPr>
        <w:t xml:space="preserve"> </w:t>
      </w:r>
      <w:r>
        <w:rPr>
          <w:i/>
          <w:iCs/>
        </w:rPr>
        <w:t xml:space="preserve">ballistic</w:t>
      </w:r>
      <w:r>
        <w:rPr>
          <w:i/>
          <w:iCs/>
        </w:rPr>
        <w:t xml:space="preserve"> </w:t>
      </w:r>
      <w:r>
        <w:rPr>
          <w:i/>
          <w:iCs/>
        </w:rPr>
        <w:t xml:space="preserve">accumulator</w:t>
      </w:r>
      <w:r>
        <w:rPr>
          <w:i/>
          <w:iCs/>
        </w:rPr>
        <w:t xml:space="preserve"> </w:t>
      </w:r>
      <w:r>
        <w:rPr>
          <w:i/>
          <w:iCs/>
        </w:rPr>
        <w:t xml:space="preserve">model.</w:t>
      </w:r>
    </w:p>
    <w:tbl>
      <w:tblPr>
        <w:tblStyle w:val="Table"/>
        <w:tblW w:type="auto" w:w="0"/>
        <w:tblLook w:firstRow="1" w:lastRow="0" w:firstColumn="0" w:lastColumn="0" w:noHBand="0" w:noVBand="0" w:val="0020"/>
        <w:tblCaption w:val="Table 2 Model formula specification for the linear ballistic accumulator model."/>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Label</w:t>
            </w:r>
          </w:p>
        </w:tc>
        <w:tc>
          <w:tcPr/>
          <w:p>
            <w:pPr>
              <w:pStyle w:val="Compact"/>
              <w:jc w:val="left"/>
            </w:pPr>
            <w:r>
              <w:t xml:space="preserve">Condition</w:t>
            </w:r>
          </w:p>
        </w:tc>
        <w:tc>
          <w:tcPr/>
          <w:p>
            <w:pPr>
              <w:pStyle w:val="Compact"/>
              <w:jc w:val="left"/>
            </w:pPr>
            <w:r>
              <w:t xml:space="preserve">Response</w:t>
            </w:r>
          </w:p>
        </w:tc>
        <w:tc>
          <w:tcPr/>
          <w:p>
            <w:pPr>
              <w:pStyle w:val="Compact"/>
              <w:jc w:val="left"/>
            </w:pPr>
            <w:r>
              <w:t xml:space="preserve">Accurracy</w:t>
            </w:r>
          </w:p>
        </w:tc>
        <w:tc>
          <w:tcPr/>
          <w:p>
            <w:pPr>
              <w:pStyle w:val="Compact"/>
              <w:jc w:val="left"/>
            </w:pPr>
            <w:r>
              <w:t xml:space="preserve">Fixed</w:t>
            </w:r>
          </w:p>
        </w:tc>
      </w:tr>
      <w:tr>
        <w:tc>
          <w:tcPr/>
          <w:p>
            <w:pPr>
              <w:pStyle w:val="Compact"/>
              <w:jc w:val="left"/>
            </w:pPr>
            <w:r>
              <w:t xml:space="preserve">Start point</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Mean drift rate</w:t>
            </w:r>
          </w:p>
        </w:tc>
        <w:tc>
          <w:tcPr/>
          <w:p>
            <w:pPr>
              <w:pStyle w:val="Compact"/>
              <w:jc w:val="left"/>
            </w:pPr>
            <w:r>
              <w:t xml:space="preserve">v</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SD drift rate</w:t>
            </w:r>
          </w:p>
        </w:tc>
        <w:tc>
          <w:tcPr/>
          <w:p>
            <w:pPr>
              <w:pStyle w:val="Compact"/>
              <w:jc w:val="left"/>
            </w:pPr>
            <w:r>
              <w:t xml:space="preserve">sd_v</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SD false drift rate</w:t>
            </w:r>
          </w:p>
        </w:tc>
        <w:tc>
          <w:tcPr/>
          <w:p>
            <w:pPr>
              <w:pStyle w:val="Compact"/>
              <w:jc w:val="left"/>
            </w:pPr>
            <w:r>
              <w:t xml:space="preserve">false.sd_v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Threshold</w:t>
            </w:r>
          </w:p>
        </w:tc>
        <w:tc>
          <w:tcPr/>
          <w:p>
            <w:pPr>
              <w:pStyle w:val="Compact"/>
              <w:jc w:val="left"/>
            </w:pPr>
            <w:r>
              <w:t xml:space="preserve">b</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Non-decision time</w:t>
            </w:r>
          </w:p>
        </w:tc>
        <w:tc>
          <w:tcPr/>
          <w:p>
            <w:pPr>
              <w:pStyle w:val="Compact"/>
              <w:jc w:val="left"/>
            </w:pPr>
            <w:r>
              <w:t xml:space="preserve">t0</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SD Non-decision time</w:t>
            </w:r>
          </w:p>
        </w:tc>
        <w:tc>
          <w:tcPr/>
          <w:p>
            <w:pPr>
              <w:pStyle w:val="Compact"/>
              <w:jc w:val="left"/>
            </w:pPr>
            <w:r>
              <w:t xml:space="preserve">st_0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r>
    </w:tbl>
    <w:p>
      <w:pPr>
        <w:pStyle w:val="table-note"/>
      </w:pPr>
      <w:r>
        <w:rPr>
          <w:i/>
          <w:iCs/>
        </w:rPr>
        <w:t xml:space="preserve">Note.</w:t>
      </w:r>
      <w:r>
        <w:t xml:space="preserve"> </w:t>
      </w:r>
      <w:r>
        <w:t xml:space="preserve">(ref:lba-formula-note)</w:t>
      </w:r>
    </w:p>
    <w:p>
      <w:pPr>
        <w:pStyle w:val="Textkrper"/>
      </w:pPr>
      <w:r>
        <w:t xml:space="preserve"> </w:t>
      </w:r>
    </w:p>
    <w:bookmarkEnd w:id="39"/>
    <w:bookmarkStart w:id="40" w:name="model-estimation"/>
    <w:p>
      <w:pPr>
        <w:pStyle w:val="berschrift3"/>
      </w:pPr>
      <w:r>
        <w:t xml:space="preserve">Model estimation.</w:t>
      </w:r>
    </w:p>
    <w:p>
      <w:pPr>
        <w:pStyle w:val="FirstParagraph"/>
      </w:pPr>
      <w:r>
        <w:t xml:space="preserve">Model estimation was carried out in a Bayesian statistical framework using the Dynamic Models of Choice software that is written in the R programming language</w:t>
      </w:r>
      <w:r>
        <w:t xml:space="preserve"> </w:t>
      </w:r>
      <w:r>
        <w:t xml:space="preserve">(Heathcote et al., 2019)</w:t>
      </w:r>
      <w:r>
        <w:t xml:space="preserve">. Full details of priors and sampling methods are provided in supplementary materials. Following prior work</w:t>
      </w:r>
      <w:r>
        <w:t xml:space="preserve"> </w:t>
      </w:r>
      <w:r>
        <w:t xml:space="preserve">(Castro, Strayer, Matzke, &amp; Heathcote, 2019)</w:t>
      </w:r>
      <w:r>
        <w:t xml:space="preserve">, priors were selected using a weakly informative approach. That is, priors were chosen to have little influence on estimation (graphical summaries of how posteriors were updated relative to priors are provided in supplementary materials). Sampling occurred in two steps. First, sampling was carried out separately for each individual participant. The results of this step then provided the starting points for the full hierarchical model. Inspection of graphical summaries confirmed that the model provided an adequate account for all major aspects of the data. Cumulative distribution functions comparing data with the model are provided in supplementary materials.</w:t>
      </w:r>
    </w:p>
    <w:bookmarkEnd w:id="40"/>
    <w:bookmarkStart w:id="41" w:name="inferential-procedure"/>
    <w:p>
      <w:pPr>
        <w:pStyle w:val="berschrift3"/>
      </w:pPr>
      <w:r>
        <w:t xml:space="preserve">Inferential Procedure.</w:t>
      </w:r>
    </w:p>
    <w:p>
      <w:pPr>
        <w:pStyle w:val="FirstParagraph"/>
      </w:pPr>
      <w:r>
        <w:t xml:space="preserve">In order to make inferences about the mechanisms that underlie different types of training, we adopted an estimation approach to statistical inference</w:t>
      </w:r>
      <w:r>
        <w:t xml:space="preserve"> </w:t>
      </w:r>
      <w:r>
        <w:t xml:space="preserve">(Cumming, 2014; Frank et al., 2025; Kruschke &amp; Liddell, 2018; McElreath, 2020)</w:t>
      </w:r>
      <w:r>
        <w:t xml:space="preserve">. The general idea behind estimation approaches is to use statistical models to estimate the sign, size and precision (interval width) of relevant parameters of interest and evaluate them in light of any stated hypotheses. Since we followed a Bayesian workflow</w:t>
      </w:r>
      <w:r>
        <w:t xml:space="preserve"> </w:t>
      </w:r>
      <w:r>
        <w:t xml:space="preserve">(Kruschke &amp; Liddell, 2018; McElreath, 2020)</w:t>
      </w:r>
      <w:r>
        <w:t xml:space="preserve">, we could evaluate parameters from the posterior distribution. Specifically, the threshold, drift rate difference (TRUE &gt; FALSE) and non-decision time parameters were estimated for each training type (untrained, naming, tying, both) at the pre-training and post-training. Therefore, we could quantify changes from pre- to post-training, as well as quantify differences between training conditions at post-training.</w:t>
      </w:r>
    </w:p>
    <w:p>
      <w:pPr>
        <w:pStyle w:val="Textkrper"/>
      </w:pPr>
      <w:r>
        <w:t xml:space="preserve">To quantify such changes, posterior samples for each individual participant were averaged across individuals to obtain the distribution of group average differences for each parameter. Pairwise comparisons on these posterior distributions were then computed between pre- and post-training sessions and between training types and the untrained condition, as well as between each training type (name, tie and name and tie). Training related changes would be measured as difference from pre-training to post-training for a type of training that is not also observed in the untrained condition. To summarise these key effects of interest, we report the median of the posterior distribution together with 95% quantile intervals of the distribution in square brackets. For evaluative purposes, we try to describe the sign, size and precision (interval width) of relevant parameters in relation to our hypotheses. This approach, therefore, avoids any reliance on categorical judgments of statistical significance that are central to null hypothesis significance testing.</w:t>
      </w:r>
    </w:p>
    <w:bookmarkEnd w:id="41"/>
    <w:bookmarkEnd w:id="42"/>
    <w:bookmarkEnd w:id="43"/>
    <w:bookmarkStart w:id="65" w:name="results"/>
    <w:p>
      <w:pPr>
        <w:pStyle w:val="berschrift1"/>
      </w:pPr>
      <w:r>
        <w:t xml:space="preserve">Results</w:t>
      </w:r>
    </w:p>
    <w:bookmarkStart w:id="48" w:name="analysis-of-observed-variables"/>
    <w:p>
      <w:pPr>
        <w:pStyle w:val="berschrift2"/>
      </w:pPr>
      <w:r>
        <w:t xml:space="preserve">Analysis of Observed Variables</w:t>
      </w:r>
    </w:p>
    <w:p>
      <w:pPr>
        <w:pStyle w:val="FirstParagraph"/>
      </w:pPr>
      <w:r>
        <w:t xml:space="preserve">Given that the data included in the current analysis differed in a number of ways to that originally reported by Cross and colleagues (2012), we first wanted to establish how training impacts RT and accuracy when analysed separately. Figure 3 visualises accuracy and reaction time data from pre- to post-training and as a function of training condition. Based on visual inspection of the summary data, accuracy appears to be largely similar across conditions and testing sessions (Figure 3A). In contrast, reaction times are generally lower for all training conditions at the post-training session compared to the pre-training session (Figure 3B). Means and standard errors for each cell of the design are reported in supplementary materials. In addition, inferential statistical analyses were conducted using a Bayesian estimation approach to multilevel modelling. As these statistical models were not the main focus of this paper, however, we only report them supplementary materials.</w:t>
      </w:r>
    </w:p>
    <w:p>
      <w:pPr>
        <w:pStyle w:val="CaptionedFigure"/>
      </w:pPr>
      <w:r>
        <w:drawing>
          <wp:inline>
            <wp:extent cx="3810000" cy="2540000"/>
            <wp:effectExtent b="0" l="0" r="0" t="0"/>
            <wp:docPr descr="Figure 3: Accuracy and Reaction Time by Training Condition and Testing Session. (A) Accuracy (percentage correct). (B) Mean reaction time (ms). Black points denote group means, whilst all other points denote individual subject means. Error bars represent within subjects’ standard error of the mean." title="" id="45" name="Picture"/>
            <a:graphic>
              <a:graphicData uri="http://schemas.openxmlformats.org/drawingml/2006/picture">
                <pic:pic>
                  <pic:nvPicPr>
                    <pic:cNvPr descr="../figures/descriptive/rain_acc_rt.jpeg" id="46"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47" w:name="fig:accuracy-rt-plot"/>
      <w:bookmarkEnd w:id="47"/>
      <w:r>
        <w:rPr>
          <w:i/>
          <w:iCs/>
        </w:rPr>
        <w:t xml:space="preserve">Figure</w:t>
      </w:r>
      <w:r>
        <w:t xml:space="preserve"> </w:t>
      </w:r>
      <w:r>
        <w:t xml:space="preserve">3. Accuracy and Reaction Time by Training Condition and Testing Session. (A) Accuracy (percentage correct). (B) Mean reaction time (ms). Black points denote group means, whilst all other points denote individual subject means. Error bars represent within subjects’ standard error of the mean.</w:t>
      </w:r>
    </w:p>
    <w:bookmarkEnd w:id="48"/>
    <w:bookmarkStart w:id="64" w:name="evidence-accumulation-modelling"/>
    <w:p>
      <w:pPr>
        <w:pStyle w:val="berschrift2"/>
      </w:pPr>
      <w:r>
        <w:t xml:space="preserve">Evidence Accumulation Modelling</w:t>
      </w:r>
    </w:p>
    <w:bookmarkStart w:id="53" w:name="thresholds"/>
    <w:p>
      <w:pPr>
        <w:pStyle w:val="berschrift3"/>
      </w:pPr>
      <w:r>
        <w:t xml:space="preserve">Thresholds.</w:t>
      </w:r>
    </w:p>
    <w:p>
      <w:pPr>
        <w:pStyle w:val="FirstParagraph"/>
      </w:pPr>
      <w:r>
        <w:t xml:space="preserve">From pre-training to post-training, thresholds differed by training condition (Figure 4). Specifically, thresholds were lower in all three training conditions at the post-training compared to the pre-training (naming: -1.71 [-1.93, -1.48]; tying: -1.41 [-1.68, -1.14]; naming and tying: 1.31 [-1.56, -1.07]) (Figure 4B). In contrast, thresholds were slightly higher at the post-training compared to the pre-training in the untrained condition (0.38 [0.15, 0.59]) (Figure 4B). Furthermore, at the post-training, there were no clear differences between the three active training conditions (Figure 4C). These threshold results suggest that participants were less cautious, in the sense that they would sacrifice accuracy for speed, when responding to all trained knots at the post-training than the pre-training.</w:t>
      </w:r>
    </w:p>
    <w:p>
      <w:pPr>
        <w:pStyle w:val="CaptionedFigure"/>
      </w:pPr>
      <w:r>
        <w:drawing>
          <wp:inline>
            <wp:extent cx="3810000" cy="2540000"/>
            <wp:effectExtent b="0" l="0" r="0" t="0"/>
            <wp:docPr descr="Figure 4: Posterior distributions and pairwise contrasts for the threshold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 title="" id="50" name="Picture"/>
            <a:graphic>
              <a:graphicData uri="http://schemas.openxmlformats.org/drawingml/2006/picture">
                <pic:pic>
                  <pic:nvPicPr>
                    <pic:cNvPr descr="../figures/ea/thresholds_day_cond.jpeg"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52" w:name="fig:threshold-plot"/>
      <w:bookmarkEnd w:id="52"/>
      <w:r>
        <w:rPr>
          <w:i/>
          <w:iCs/>
        </w:rPr>
        <w:t xml:space="preserve">Figure</w:t>
      </w:r>
      <w:r>
        <w:t xml:space="preserve"> </w:t>
      </w:r>
      <w:r>
        <w:t xml:space="preserve">4. Posterior distributions and pairwise contrasts for the threshold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w:t>
      </w:r>
    </w:p>
    <w:bookmarkEnd w:id="53"/>
    <w:bookmarkStart w:id="58" w:name="drift-rate"/>
    <w:p>
      <w:pPr>
        <w:pStyle w:val="berschrift3"/>
      </w:pPr>
      <w:r>
        <w:t xml:space="preserve">Drift rate.</w:t>
      </w:r>
    </w:p>
    <w:p>
      <w:pPr>
        <w:pStyle w:val="FirstParagraph"/>
      </w:pPr>
      <w:r>
        <w:t xml:space="preserve">From pre-training to post-training, the drift rate difference (TRUE &gt; FALSE) differed by training condition (Figure 5). Knots that received both tying and naming training showed an increased drift rate (0.87 [0.40, 1.34]), while those those received naming (0.05 [-0.32, 0.42]) or tying training (-0.03 [-0.42, 0.36]) remained the largely the same (Figure 5B). Knots that received no training showed a decrease in drift rate difference (-0.66 [-1.02, -0.30]) (Figure 5B). Furthermore, at the post-training, the tying and naming condition showed positive differences to all other conditions (Figure 5C).</w:t>
      </w:r>
    </w:p>
    <w:p>
      <w:pPr>
        <w:pStyle w:val="Textkrper"/>
      </w:pPr>
      <w:r>
        <w:t xml:space="preserve">These drift rate difference results suggest that the quality of evidence accruing was higher for knots that received both naming and tying training relative to knots that received naming, tying and no training. As such, a clear benefit emerged in terms of the quality and quantity of information processing during task performance following training that jointly involved both types of learning (naming and tying).</w:t>
      </w:r>
    </w:p>
    <w:p>
      <w:pPr>
        <w:pStyle w:val="CaptionedFigure"/>
      </w:pPr>
      <w:r>
        <w:drawing>
          <wp:inline>
            <wp:extent cx="3810000" cy="2540000"/>
            <wp:effectExtent b="0" l="0" r="0" t="0"/>
            <wp:docPr descr="Figure 5: Posterior distributions and pairwise contrasts for the drift rate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 title="" id="55" name="Picture"/>
            <a:graphic>
              <a:graphicData uri="http://schemas.openxmlformats.org/drawingml/2006/picture">
                <pic:pic>
                  <pic:nvPicPr>
                    <pic:cNvPr descr="../figures/ea/drift_rate_day_cond.jpeg" id="56" name="Picture"/>
                    <pic:cNvPicPr>
                      <a:picLocks noChangeArrowheads="1" noChangeAspect="1"/>
                    </pic:cNvPicPr>
                  </pic:nvPicPr>
                  <pic:blipFill>
                    <a:blip r:embed="rId5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57" w:name="fig:drift-rate-plot"/>
      <w:bookmarkEnd w:id="57"/>
      <w:r>
        <w:rPr>
          <w:i/>
          <w:iCs/>
        </w:rPr>
        <w:t xml:space="preserve">Figure</w:t>
      </w:r>
      <w:r>
        <w:t xml:space="preserve"> </w:t>
      </w:r>
      <w:r>
        <w:t xml:space="preserve">5. Posterior distributions and pairwise contrasts for the drift rate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w:t>
      </w:r>
    </w:p>
    <w:bookmarkEnd w:id="58"/>
    <w:bookmarkStart w:id="63" w:name="non-decision-time"/>
    <w:p>
      <w:pPr>
        <w:pStyle w:val="berschrift3"/>
      </w:pPr>
      <w:r>
        <w:t xml:space="preserve">Non-decision time.</w:t>
      </w:r>
    </w:p>
    <w:p>
      <w:pPr>
        <w:pStyle w:val="FirstParagraph"/>
      </w:pPr>
      <w:r>
        <w:t xml:space="preserve">From pre-training to post-training, non-decision time differed by training condition (Figure 6). Knots that received naming (0.19 [0.13, 0.25]), tying (0.14 [0.08, 0.20]) and both naming and tying training (0.14 [0.08, 0.19]) had a higher non-decision time at post-training than pre-training (Figure 5B). In contrast, knots that received no training had a lower non-decision time post-training than pre-training (-0.23 [-0.29, -0.18]) (Figure 6B). Furthermore, at the post-training, there were no clear differences between the three active training conditions (Figure 6C). Given that motor preparation for such a simple key-pressing task is unlikely to be affected by this type of training, we suggest that these results must reflect the longer time taken to encode the stimulus following the development of newly acquired linguistic or action knowledge.</w:t>
      </w:r>
    </w:p>
    <w:p>
      <w:pPr>
        <w:pStyle w:val="CaptionedFigure"/>
      </w:pPr>
      <w:r>
        <w:drawing>
          <wp:inline>
            <wp:extent cx="3810000" cy="2540000"/>
            <wp:effectExtent b="0" l="0" r="0" t="0"/>
            <wp:docPr descr="Figure 6: Posterior distributions and pairwise contrasts for the non-decision time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 title="" id="60" name="Picture"/>
            <a:graphic>
              <a:graphicData uri="http://schemas.openxmlformats.org/drawingml/2006/picture">
                <pic:pic>
                  <pic:nvPicPr>
                    <pic:cNvPr descr="../figures/ea/ndt_day_cond.jpeg" id="61" name="Picture"/>
                    <pic:cNvPicPr>
                      <a:picLocks noChangeArrowheads="1" noChangeAspect="1"/>
                    </pic:cNvPicPr>
                  </pic:nvPicPr>
                  <pic:blipFill>
                    <a:blip r:embed="rId5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62" w:name="fig:ndt-plot"/>
      <w:bookmarkEnd w:id="62"/>
      <w:r>
        <w:rPr>
          <w:i/>
          <w:iCs/>
        </w:rPr>
        <w:t xml:space="preserve">Figure</w:t>
      </w:r>
      <w:r>
        <w:t xml:space="preserve"> </w:t>
      </w:r>
      <w:r>
        <w:t xml:space="preserve">6. Posterior distributions and pairwise contrasts for the non-decision time parameter by training condition and testing session. (A) Posterior distributions by training condition and testing session. (B) post-training minus pre-training pairwise contrasts per training condition. (C) Contrasts between training conditions relative to the untrained condition (top row) and between each training condition (bottom row). Black points show the median value of the posterior distribution, while error bars show the 95% quantile interval of the distribution. The dashed grey vertical line is shown at zero.</w:t>
      </w:r>
    </w:p>
    <w:bookmarkEnd w:id="63"/>
    <w:bookmarkEnd w:id="64"/>
    <w:bookmarkEnd w:id="65"/>
    <w:bookmarkStart w:id="70" w:name="discussion"/>
    <w:p>
      <w:pPr>
        <w:pStyle w:val="berschrift1"/>
      </w:pPr>
      <w:r>
        <w:t xml:space="preserve">Discussion</w:t>
      </w:r>
    </w:p>
    <w:p>
      <w:pPr>
        <w:pStyle w:val="FirstParagraph"/>
      </w:pPr>
      <w:r>
        <w:t xml:space="preserve">The aim of the present study was to use evidence accumulation modelling to investigate the cognitive mechanisms that underlie linguistic and action-based training in a knot-tying and knot-naming task. Our results revealed that the effects of training are multifaceted, in terms of the latent cognitive processes involved. In other words, training impacted several cognitive sub-processes that, in combination, determine subsequent task performance. In addition, an added benefit was observed for the speed of information accumulation when naming and tying experience were combined. This latter finding suggests that a multi-modal training protocol can aid the quantity and quality of information processing during decision making. Below, we discuss several ways in which our findings advance our understanding of how perceptual and cognitive systems are shaped by different types of knowledge acquisition and experience. More generally, we also outline why future work may benefit from taking a more computational approach to understand the effects of training on learning and performance.</w:t>
      </w:r>
    </w:p>
    <w:bookmarkStart w:id="66" w:name="X8f78ef4ee9ee3d5cf168ebbdbeba9cc1e96eab0"/>
    <w:p>
      <w:pPr>
        <w:pStyle w:val="berschrift2"/>
      </w:pPr>
      <w:r>
        <w:t xml:space="preserve">Training leads to general decreases in response caution and general increases in non-decision time</w:t>
      </w:r>
    </w:p>
    <w:p>
      <w:pPr>
        <w:pStyle w:val="FirstParagraph"/>
      </w:pPr>
      <w:r>
        <w:t xml:space="preserve">Relative to the pre-training session, response caution decreased by a similar amount in all of the training conditions at the post-training session. Participants required less evidence to trigger a decision in the perceptual discrimination task following training. This finding is consistent with our predictions and other studies that have found task repetition to be associated with decreased response caution (Dutilh et al., 2011; Dutilh et al., 2009; Liu &amp; Watanabe, 2012; Zhang &amp; Rowe, 2014). Extending these previous studies, our results suggest that this decrease in response caution is a general effect and does not differ by type of training. Given that lower response caution signals a tendency to prioritise the speed over the accuracy of responses, these results suggest that training, in part, provides a general bias to favour quicker responses.</w:t>
      </w:r>
    </w:p>
    <w:p>
      <w:pPr>
        <w:pStyle w:val="Textkrper"/>
      </w:pPr>
      <w:r>
        <w:t xml:space="preserve">Relative to the pre-training session, non-decision time increased by a similar amount in all of the training conditions at the post-training session. Participants took longer to complete all processes fall outside the decision-making process, such as stimulus encoding and motor responding, following training. We predicted the opposite pattern of results based on past research that showed how repeatedly performing the same task can lead to reductions in non-decision time (Dutilh et al., 2011; Dutilh et al., 2009). Taken together, these findings tentatively suggest that the type of training employed is important for understanding the impact of experience on non-decision time. Task repetition may lead to a shorter stimulus encoding time as a simple practice effect that reflects more efficient stimulus processing (Dutilh et al., 2011; Dutilh et al., 2009). In contrast, when stimuli have been enriched in some way by training experience, such as in the present study where types of knots become associated with newly formed linguistic or action knowledge</w:t>
      </w:r>
      <w:r>
        <w:t xml:space="preserve"> </w:t>
      </w:r>
      <w:r>
        <w:t xml:space="preserve">(Cross et al., 2012; Martin, 2007)</w:t>
      </w:r>
      <w:r>
        <w:t xml:space="preserve">, stimulus encoding may take longer to process the newly acquired information. Future research would be required to confirm this proposal.</w:t>
      </w:r>
    </w:p>
    <w:bookmarkEnd w:id="66"/>
    <w:bookmarkStart w:id="67" w:name="Xc9fee55ca8d7e43aa298f7b26ffcb66baf8fbbd"/>
    <w:p>
      <w:pPr>
        <w:pStyle w:val="berschrift2"/>
      </w:pPr>
      <w:r>
        <w:t xml:space="preserve">The combination of linguistic and action-based training increases the quality of information accumulation</w:t>
      </w:r>
    </w:p>
    <w:p>
      <w:pPr>
        <w:pStyle w:val="FirstParagraph"/>
      </w:pPr>
      <w:r>
        <w:t xml:space="preserve">Relative to the pre-training session, only training that combined linguistic and action knowledge increased the rate at which evidence accumulates (drift rate) at the post-training session. This finding is consistent with prior studies that showed how repeatedly performing the same task can lead to increase in drift rate (Dutilh et al., 2011; Dutilh et al., 2009; Liu &amp; Watanabe, 2012; Ratcliff et al., 2006; Zhang &amp; Rowe, 2014). Thus, we show that acquisition of combined linguistic and action knowledge made increased the signal-to-noise ratio of the stimuli and thus made it easier to quickly and accurately arrive at a correct perceptual judgment.</w:t>
      </w:r>
    </w:p>
    <w:p>
      <w:pPr>
        <w:pStyle w:val="Textkrper"/>
      </w:pPr>
      <w:r>
        <w:t xml:space="preserve">Such a result cannot straightforwardly be interpreted as a dose-response effect, since training dose was balanced between training conditions. That is, the naming and tying condition completed the same amount of training as the other training conditions, but with a combined protocol that involved motor practice and the presentation of names. Therefore, we propose that the unique combination of linguistic and action-based training may lead to a qualitative difference in information accumulation during decision making. Such a qualitative interpretation would be consistent with prior studies that have shown that compared to uni-modal training protocols, multi-modal training leads to greater improvements in cognitive domains such as working memory and problem solving</w:t>
      </w:r>
      <w:r>
        <w:t xml:space="preserve"> </w:t>
      </w:r>
      <w:r>
        <w:t xml:space="preserve">(Ward et al., 2017)</w:t>
      </w:r>
      <w:r>
        <w:t xml:space="preserve">, as well as greater engagement of a broad network of sensorimotor brain regions</w:t>
      </w:r>
      <w:r>
        <w:t xml:space="preserve"> </w:t>
      </w:r>
      <w:r>
        <w:t xml:space="preserve">(Kirsch &amp; Cross, 2015)</w:t>
      </w:r>
      <w:r>
        <w:t xml:space="preserve">.</w:t>
      </w:r>
    </w:p>
    <w:bookmarkEnd w:id="67"/>
    <w:bookmarkStart w:id="68" w:name="X87432b38c0c3157651b43732ad3882a7c32ef24"/>
    <w:p>
      <w:pPr>
        <w:pStyle w:val="berschrift2"/>
      </w:pPr>
      <w:r>
        <w:t xml:space="preserve">Implications for understanding the effects of training and experience</w:t>
      </w:r>
    </w:p>
    <w:p>
      <w:pPr>
        <w:pStyle w:val="FirstParagraph"/>
      </w:pPr>
      <w:r>
        <w:t xml:space="preserve">The results of this study have a number of implications for our understanding of how training influences cognitive processes during a perceptual decision making. First, on a general level, our key inferences about the mechanisms that underlie training would not be possible from a more conventional and separate analysis of accuracy and reaction times</w:t>
      </w:r>
      <w:r>
        <w:t xml:space="preserve"> </w:t>
      </w:r>
      <w:r>
        <w:t xml:space="preserve">(Parker &amp; Ramsey, 2023b)</w:t>
      </w:r>
      <w:r>
        <w:t xml:space="preserve">. The current study, therefore, makes it clear that the application of evidence accumulation modelling to training paradigms can uncover new insights about the cognitive mechanisms responsible for learning and the acquisition of object knowledge.</w:t>
      </w:r>
    </w:p>
    <w:p>
      <w:pPr>
        <w:pStyle w:val="Textkrper"/>
      </w:pPr>
      <w:r>
        <w:t xml:space="preserve">Second, consistent with prior studies, our results revealed training effects to be multifaceted. That is, training effects were evident across a number of parameters of the LBA model, rather than a single parameter (Dutilh et al., 2011; Dutilh et al., 2009; Reinhartz et al., 2023). This suggests that improvements in task performance that are associated with training can be attributed to a number of underlying mechanisms. It may also be one reason for the wide variety of training-induced outcomes that are observed across different tasks and training protocols, as it is possible that different types and amounts of training can impact underlying cognitive processes in different ways. And this is one clear benefit to understanding cognitive processes that is provided by taking a more mathematical approach to theory building in psychology and cognitive neuroscience, as it forces a more explicit formulation of the relationship between parts of a system that are under investigation</w:t>
      </w:r>
      <w:r>
        <w:t xml:space="preserve"> </w:t>
      </w:r>
      <w:r>
        <w:t xml:space="preserve">(Hintzman, 1991; Yarkoni, 2022)</w:t>
      </w:r>
      <w:r>
        <w:t xml:space="preserve">.</w:t>
      </w:r>
    </w:p>
    <w:p>
      <w:pPr>
        <w:pStyle w:val="Textkrper"/>
      </w:pPr>
      <w:r>
        <w:t xml:space="preserve">Third, in an extension to previous studies, which typically administer one type of training (Dutilh et al., 2011; Dutilh et al., 2009; Reinhartz et al., 2023), we found no evidence to suggest that uni-modal training effects differ by the acquisition of linguistic versus motor knowledge. This finding is noteworthy to consider in the context of the neuroimaging results of the original study, which found action-based training to be uniquely associated with activation in the anterior intraparietal sulcus, a brain region associated with object manipulation (Cross et al., 2012). On the face of it, Cross and colleagues (2012) results suggest that are some unique training-specific contributions that shape cognitive and brain-based mechanisms, but our analytical approach was insensitive to such uni-modal training-type differences. Taken together, these results highlight the value of using multi-method approaches to tackle research questions in cognitive neuroscience, which span different levels of description.</w:t>
      </w:r>
    </w:p>
    <w:bookmarkEnd w:id="68"/>
    <w:bookmarkStart w:id="69" w:name="X778123818fe2c4ace72bcc2e54b6bb34c942daf"/>
    <w:p>
      <w:pPr>
        <w:pStyle w:val="berschrift2"/>
      </w:pPr>
      <w:r>
        <w:t xml:space="preserve">Limitations, constraints on generality and future directions</w:t>
      </w:r>
    </w:p>
    <w:p>
      <w:pPr>
        <w:pStyle w:val="FirstParagraph"/>
      </w:pPr>
      <w:r>
        <w:t xml:space="preserve">We think it is important to place explicit constraints on the generality of our findings</w:t>
      </w:r>
      <w:r>
        <w:t xml:space="preserve"> </w:t>
      </w:r>
      <w:r>
        <w:t xml:space="preserve">(Simons, Shoda, &amp; Lindsay, 2017)</w:t>
      </w:r>
      <w:r>
        <w:t xml:space="preserve">, as well as acknowledge relevant limitations of the work</w:t>
      </w:r>
      <w:r>
        <w:t xml:space="preserve"> </w:t>
      </w:r>
      <w:r>
        <w:t xml:space="preserve">(Ramsey, 2021)</w:t>
      </w:r>
      <w:r>
        <w:t xml:space="preserve">. We had a clear, pre-registered aim to evaluate how parameters in the model vary by training condition. However, alternative modelling approaches could be taken in the future. First, one could explore the extent to which some of our results reflect a trade-off between non-decision time and threshold, as recently outlined</w:t>
      </w:r>
      <w:r>
        <w:t xml:space="preserve"> </w:t>
      </w:r>
      <w:r>
        <w:t xml:space="preserve">(Evans, 2020)</w:t>
      </w:r>
      <w:r>
        <w:t xml:space="preserve">. Second, we fixed the standard deviation of the false accumulator to 1 to ensure model identifiability, which is a common modelling choice</w:t>
      </w:r>
      <w:r>
        <w:t xml:space="preserve"> </w:t>
      </w:r>
      <w:r>
        <w:t xml:space="preserve">(Heathcote et al., 2019)</w:t>
      </w:r>
      <w:r>
        <w:t xml:space="preserve">, but one could allow it to vary by training condition to assess whether training impacts the relaiability or noisiness of competing, incorrect evidence. Third, rather than focus on estimating training effects on parameters in one model, a model comparison approach could have been taken, which assessed the predictive accuracy of models that vary in structure</w:t>
      </w:r>
      <w:r>
        <w:t xml:space="preserve"> </w:t>
      </w:r>
      <w:r>
        <w:t xml:space="preserve">(Donkin et al., 2009; Farrell &amp; Lewandowsky, 2018)</w:t>
      </w:r>
      <w:r>
        <w:t xml:space="preserve">. Future studies may consider these alternative modelling options, as well as incorporate trial-by-trial learning effects in addition to session-by-session effects (Cochrane et al., 2023). Given the difficulty in fitting LBA models with the amount of data available for the current analysis, it is likely that considerably more data per participant would be required to make these more complex modelling choices a viable option.</w:t>
      </w:r>
    </w:p>
    <w:p>
      <w:pPr>
        <w:pStyle w:val="Textkrper"/>
      </w:pPr>
      <w:r>
        <w:t xml:space="preserve">It is also important to acknowledge that any conclusions based on comparisons to the untrained condition need qualifying. The untrained condition did not control for familiarity effects, since the untrained condition involved no training and no exposure to training materials. Therefore, comparisons between trained and untrained conditions could reflect a combination of learning, practice and increased familiarity. This limitation, however, does not apply to the comparisons between training conditions, as they were all equally familiar after training, and thus more likely reflect the impact of training rather than mere familiarity.</w:t>
      </w:r>
    </w:p>
    <w:p>
      <w:r>
        <w:br w:type="page"/>
      </w:r>
    </w:p>
    <w:bookmarkEnd w:id="69"/>
    <w:bookmarkEnd w:id="70"/>
    <w:bookmarkStart w:id="147" w:name="references"/>
    <w:p>
      <w:pPr>
        <w:pStyle w:val="berschrift1"/>
      </w:pPr>
      <w:r>
        <w:t xml:space="preserve">References</w:t>
      </w:r>
    </w:p>
    <w:bookmarkStart w:id="146" w:name="refs"/>
    <w:bookmarkStart w:id="72" w:name="ref-R-papaja"/>
    <w:p>
      <w:pPr>
        <w:pStyle w:val="Literaturverzeichnis"/>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71">
        <w:r>
          <w:rPr>
            <w:rStyle w:val="Hyperlink"/>
          </w:rPr>
          <w:t xml:space="preserve">https://doi.org/10.32614/CRAN.package.papaja</w:t>
        </w:r>
      </w:hyperlink>
    </w:p>
    <w:bookmarkEnd w:id="72"/>
    <w:bookmarkStart w:id="74" w:name="ref-brown2008"/>
    <w:p>
      <w:pPr>
        <w:pStyle w:val="Literaturverzeichnis"/>
      </w:pPr>
      <w:r>
        <w:t xml:space="preserve">Brown, S. D., &amp; Heathcote, A. (2008). The simplest complete model of choice response time:</w:t>
      </w:r>
      <w:r>
        <w:t xml:space="preserve"> </w:t>
      </w:r>
      <w:r>
        <w:t xml:space="preserve">Linear</w:t>
      </w:r>
      <w:r>
        <w:t xml:space="preserve"> </w:t>
      </w:r>
      <w:r>
        <w:t xml:space="preserve">ballistic accumulation.</w:t>
      </w:r>
      <w:r>
        <w:t xml:space="preserve"> </w:t>
      </w:r>
      <w:r>
        <w:rPr>
          <w:i/>
          <w:iCs/>
        </w:rPr>
        <w:t xml:space="preserve">Cognitive Psychology</w:t>
      </w:r>
      <w:r>
        <w:t xml:space="preserve">,</w:t>
      </w:r>
      <w:r>
        <w:t xml:space="preserve"> </w:t>
      </w:r>
      <w:r>
        <w:rPr>
          <w:i/>
          <w:iCs/>
        </w:rPr>
        <w:t xml:space="preserve">57</w:t>
      </w:r>
      <w:r>
        <w:t xml:space="preserve">(3), 153–178.</w:t>
      </w:r>
      <w:r>
        <w:t xml:space="preserve"> </w:t>
      </w:r>
      <w:hyperlink r:id="rId73">
        <w:r>
          <w:rPr>
            <w:rStyle w:val="Hyperlink"/>
          </w:rPr>
          <w:t xml:space="preserve">https://doi.org/10.1016/j.cogpsych.2007.12.002</w:t>
        </w:r>
      </w:hyperlink>
    </w:p>
    <w:bookmarkEnd w:id="74"/>
    <w:bookmarkStart w:id="76" w:name="ref-castro2019"/>
    <w:p>
      <w:pPr>
        <w:pStyle w:val="Literaturverzeichnis"/>
      </w:pPr>
      <w:r>
        <w:t xml:space="preserve">Castro, S. C., Strayer, D. L., Matzke, D., &amp; Heathcote, A. (2019). Cognitive workload measurement and modeling under divided attention.</w:t>
      </w:r>
      <w:r>
        <w:t xml:space="preserve"> </w:t>
      </w:r>
      <w:r>
        <w:rPr>
          <w:i/>
          <w:iCs/>
        </w:rPr>
        <w:t xml:space="preserve">Journal of Experimental Psychology: Human Perception and Performance</w:t>
      </w:r>
      <w:r>
        <w:t xml:space="preserve">,</w:t>
      </w:r>
      <w:r>
        <w:t xml:space="preserve"> </w:t>
      </w:r>
      <w:r>
        <w:rPr>
          <w:i/>
          <w:iCs/>
        </w:rPr>
        <w:t xml:space="preserve">45</w:t>
      </w:r>
      <w:r>
        <w:t xml:space="preserve">(6), 826–839.</w:t>
      </w:r>
      <w:r>
        <w:t xml:space="preserve"> </w:t>
      </w:r>
      <w:hyperlink r:id="rId75">
        <w:r>
          <w:rPr>
            <w:rStyle w:val="Hyperlink"/>
          </w:rPr>
          <w:t xml:space="preserve">https://doi.org/10.1037/xhp0000638</w:t>
        </w:r>
      </w:hyperlink>
    </w:p>
    <w:bookmarkEnd w:id="76"/>
    <w:bookmarkStart w:id="78" w:name="ref-cochrane2023"/>
    <w:p>
      <w:pPr>
        <w:pStyle w:val="Literaturverzeichnis"/>
      </w:pPr>
      <w:r>
        <w:t xml:space="preserve">Cochrane, A., Sims, C. R., Bejjanki, V. R., Green, C. S., &amp; Bavelier, D. (2023). Multiple timescales of learning indicated by changes in evidence-accumulation processes during perceptual decision-making.</w:t>
      </w:r>
      <w:r>
        <w:t xml:space="preserve"> </w:t>
      </w:r>
      <w:r>
        <w:rPr>
          <w:i/>
          <w:iCs/>
        </w:rPr>
        <w:t xml:space="preserve">Npj Science of Learning</w:t>
      </w:r>
      <w:r>
        <w:t xml:space="preserve">,</w:t>
      </w:r>
      <w:r>
        <w:t xml:space="preserve"> </w:t>
      </w:r>
      <w:r>
        <w:rPr>
          <w:i/>
          <w:iCs/>
        </w:rPr>
        <w:t xml:space="preserve">8</w:t>
      </w:r>
      <w:r>
        <w:t xml:space="preserve">(1), 1–10.</w:t>
      </w:r>
      <w:r>
        <w:t xml:space="preserve"> </w:t>
      </w:r>
      <w:hyperlink r:id="rId77">
        <w:r>
          <w:rPr>
            <w:rStyle w:val="Hyperlink"/>
          </w:rPr>
          <w:t xml:space="preserve">https://doi.org/10.1038/s41539-023-00168-9</w:t>
        </w:r>
      </w:hyperlink>
    </w:p>
    <w:bookmarkEnd w:id="78"/>
    <w:bookmarkStart w:id="80" w:name="ref-cross2012d"/>
    <w:p>
      <w:pPr>
        <w:pStyle w:val="Literaturverzeichnis"/>
      </w:pPr>
      <w:r>
        <w:t xml:space="preserve">Cross, E. S., Cohen, N. R., C. Hamilton, A. F. de, Ramsey, R., Wolford, G., &amp; Grafton, S. T. (2012). Physical experience leads to enhanced object perception in parietal cortex:</w:t>
      </w:r>
      <w:r>
        <w:t xml:space="preserve"> </w:t>
      </w:r>
      <w:r>
        <w:t xml:space="preserve">Insights</w:t>
      </w:r>
      <w:r>
        <w:t xml:space="preserve"> </w:t>
      </w:r>
      <w:r>
        <w:t xml:space="preserve">from knot tying.</w:t>
      </w:r>
      <w:r>
        <w:t xml:space="preserve"> </w:t>
      </w:r>
      <w:r>
        <w:rPr>
          <w:i/>
          <w:iCs/>
        </w:rPr>
        <w:t xml:space="preserve">Neuropsychologia</w:t>
      </w:r>
      <w:r>
        <w:t xml:space="preserve">,</w:t>
      </w:r>
      <w:r>
        <w:t xml:space="preserve"> </w:t>
      </w:r>
      <w:r>
        <w:rPr>
          <w:i/>
          <w:iCs/>
        </w:rPr>
        <w:t xml:space="preserve">50</w:t>
      </w:r>
      <w:r>
        <w:t xml:space="preserve">(14), 3207–3217.</w:t>
      </w:r>
      <w:r>
        <w:t xml:space="preserve"> </w:t>
      </w:r>
      <w:hyperlink r:id="rId79">
        <w:r>
          <w:rPr>
            <w:rStyle w:val="Hyperlink"/>
          </w:rPr>
          <w:t xml:space="preserve">https://doi.org/10.1016/j.neuropsychologia.2012.09.028</w:t>
        </w:r>
      </w:hyperlink>
    </w:p>
    <w:bookmarkEnd w:id="80"/>
    <w:bookmarkStart w:id="82" w:name="ref-cummingNewStatisticsWhy2014"/>
    <w:p>
      <w:pPr>
        <w:pStyle w:val="Literaturverzeichnis"/>
      </w:pPr>
      <w:r>
        <w:t xml:space="preserve">Cumming, G. (2014). The</w:t>
      </w:r>
      <w:r>
        <w:t xml:space="preserve"> </w:t>
      </w:r>
      <w:r>
        <w:t xml:space="preserve">New Statistics</w:t>
      </w:r>
      <w:r>
        <w:t xml:space="preserve">:</w:t>
      </w:r>
      <w:r>
        <w:t xml:space="preserve"> </w:t>
      </w:r>
      <w:r>
        <w:t xml:space="preserve">Why</w:t>
      </w:r>
      <w:r>
        <w:t xml:space="preserve"> </w:t>
      </w:r>
      <w:r>
        <w:t xml:space="preserve">and</w:t>
      </w:r>
      <w:r>
        <w:t xml:space="preserve"> </w:t>
      </w:r>
      <w:r>
        <w:t xml:space="preserve">How</w:t>
      </w:r>
      <w:r>
        <w:t xml:space="preserve">.</w:t>
      </w:r>
      <w:r>
        <w:t xml:space="preserve"> </w:t>
      </w:r>
      <w:r>
        <w:rPr>
          <w:i/>
          <w:iCs/>
        </w:rPr>
        <w:t xml:space="preserve">Psychological Science</w:t>
      </w:r>
      <w:r>
        <w:t xml:space="preserve">,</w:t>
      </w:r>
      <w:r>
        <w:t xml:space="preserve"> </w:t>
      </w:r>
      <w:r>
        <w:rPr>
          <w:i/>
          <w:iCs/>
        </w:rPr>
        <w:t xml:space="preserve">25</w:t>
      </w:r>
      <w:r>
        <w:t xml:space="preserve">(1), 7–29.</w:t>
      </w:r>
      <w:r>
        <w:t xml:space="preserve"> </w:t>
      </w:r>
      <w:hyperlink r:id="rId81">
        <w:r>
          <w:rPr>
            <w:rStyle w:val="Hyperlink"/>
          </w:rPr>
          <w:t xml:space="preserve">https://doi.org/10.1177/0956797613504966</w:t>
        </w:r>
      </w:hyperlink>
    </w:p>
    <w:bookmarkEnd w:id="82"/>
    <w:bookmarkStart w:id="84" w:name="ref-donkin2009"/>
    <w:p>
      <w:pPr>
        <w:pStyle w:val="Literaturverzeichnis"/>
      </w:pPr>
      <w:r>
        <w:t xml:space="preserve">Donkin, C., Averell, L., Brown, S., &amp; Heathcote, A. (2009). Getting more from accuracy and response time data:</w:t>
      </w:r>
      <w:r>
        <w:t xml:space="preserve"> </w:t>
      </w:r>
      <w:r>
        <w:t xml:space="preserve">Methods</w:t>
      </w:r>
      <w:r>
        <w:t xml:space="preserve"> </w:t>
      </w:r>
      <w:r>
        <w:t xml:space="preserve">for fitting the linear ballistic accumulator.</w:t>
      </w:r>
      <w:r>
        <w:t xml:space="preserve"> </w:t>
      </w:r>
      <w:r>
        <w:rPr>
          <w:i/>
          <w:iCs/>
        </w:rPr>
        <w:t xml:space="preserve">Behavior Research Methods</w:t>
      </w:r>
      <w:r>
        <w:t xml:space="preserve">,</w:t>
      </w:r>
      <w:r>
        <w:t xml:space="preserve"> </w:t>
      </w:r>
      <w:r>
        <w:rPr>
          <w:i/>
          <w:iCs/>
        </w:rPr>
        <w:t xml:space="preserve">41</w:t>
      </w:r>
      <w:r>
        <w:t xml:space="preserve">(4), 1095–1110.</w:t>
      </w:r>
      <w:r>
        <w:t xml:space="preserve"> </w:t>
      </w:r>
      <w:hyperlink r:id="rId83">
        <w:r>
          <w:rPr>
            <w:rStyle w:val="Hyperlink"/>
          </w:rPr>
          <w:t xml:space="preserve">https://doi.org/10.3758/BRM.41.4.1095</w:t>
        </w:r>
      </w:hyperlink>
    </w:p>
    <w:bookmarkEnd w:id="84"/>
    <w:bookmarkStart w:id="86" w:name="ref-dutilh2011"/>
    <w:p>
      <w:pPr>
        <w:pStyle w:val="Literaturverzeichnis"/>
      </w:pPr>
      <w:r>
        <w:t xml:space="preserve">Dutilh, G., Krypotos, A.-M., &amp; Wagenmakers, E.-J. (2011). Task-</w:t>
      </w:r>
      <w:r>
        <w:t xml:space="preserve">Related Versus Stimulus-Specific Practice</w:t>
      </w:r>
      <w:r>
        <w:t xml:space="preserve">.</w:t>
      </w:r>
      <w:r>
        <w:t xml:space="preserve"> </w:t>
      </w:r>
      <w:r>
        <w:rPr>
          <w:i/>
          <w:iCs/>
        </w:rPr>
        <w:t xml:space="preserve">Experimental Psychology</w:t>
      </w:r>
      <w:r>
        <w:t xml:space="preserve">,</w:t>
      </w:r>
      <w:r>
        <w:t xml:space="preserve"> </w:t>
      </w:r>
      <w:r>
        <w:rPr>
          <w:i/>
          <w:iCs/>
        </w:rPr>
        <w:t xml:space="preserve">58</w:t>
      </w:r>
      <w:r>
        <w:t xml:space="preserve">(6), 434–442.</w:t>
      </w:r>
      <w:r>
        <w:t xml:space="preserve"> </w:t>
      </w:r>
      <w:hyperlink r:id="rId85">
        <w:r>
          <w:rPr>
            <w:rStyle w:val="Hyperlink"/>
          </w:rPr>
          <w:t xml:space="preserve">https://doi.org/10.1027/1618-3169/a000111</w:t>
        </w:r>
      </w:hyperlink>
    </w:p>
    <w:bookmarkEnd w:id="86"/>
    <w:bookmarkStart w:id="88" w:name="ref-dutilh2009"/>
    <w:p>
      <w:pPr>
        <w:pStyle w:val="Literaturverzeichnis"/>
      </w:pPr>
      <w:r>
        <w:t xml:space="preserve">Dutilh, G., Vandekerckhove, J., Tuerlinckx, F., &amp; Wagenmakers, E.-J. (2009). A diffusion model decomposition of the practice effect.</w:t>
      </w:r>
      <w:r>
        <w:t xml:space="preserve"> </w:t>
      </w:r>
      <w:r>
        <w:rPr>
          <w:i/>
          <w:iCs/>
        </w:rPr>
        <w:t xml:space="preserve">Psychonomic Bulletin &amp; Review</w:t>
      </w:r>
      <w:r>
        <w:t xml:space="preserve">,</w:t>
      </w:r>
      <w:r>
        <w:t xml:space="preserve"> </w:t>
      </w:r>
      <w:r>
        <w:rPr>
          <w:i/>
          <w:iCs/>
        </w:rPr>
        <w:t xml:space="preserve">16</w:t>
      </w:r>
      <w:r>
        <w:t xml:space="preserve">(6), 1026–1036.</w:t>
      </w:r>
      <w:r>
        <w:t xml:space="preserve"> </w:t>
      </w:r>
      <w:hyperlink r:id="rId87">
        <w:r>
          <w:rPr>
            <w:rStyle w:val="Hyperlink"/>
          </w:rPr>
          <w:t xml:space="preserve">https://doi.org/10.3758/16.6.1026</w:t>
        </w:r>
      </w:hyperlink>
    </w:p>
    <w:bookmarkEnd w:id="88"/>
    <w:bookmarkStart w:id="90" w:name="ref-evans2020b"/>
    <w:p>
      <w:pPr>
        <w:pStyle w:val="Literaturverzeichnis"/>
      </w:pPr>
      <w:r>
        <w:t xml:space="preserve">Evans, N. (2020). Same model, different conclusions:</w:t>
      </w:r>
      <w:r>
        <w:t xml:space="preserve"> </w:t>
      </w:r>
      <w:r>
        <w:t xml:space="preserve">An</w:t>
      </w:r>
      <w:r>
        <w:t xml:space="preserve"> </w:t>
      </w:r>
      <w:r>
        <w:t xml:space="preserve">identifiability issue in the linear ballistic accumulator model of decision-makin.</w:t>
      </w:r>
      <w:r>
        <w:t xml:space="preserve"> </w:t>
      </w:r>
      <w:hyperlink r:id="rId89">
        <w:r>
          <w:rPr>
            <w:rStyle w:val="Hyperlink"/>
          </w:rPr>
          <w:t xml:space="preserve">https://doi.org/10.31234/osf.io/2xu7f</w:t>
        </w:r>
      </w:hyperlink>
    </w:p>
    <w:bookmarkEnd w:id="90"/>
    <w:bookmarkStart w:id="92" w:name="ref-farrell2018"/>
    <w:p>
      <w:pPr>
        <w:pStyle w:val="Literaturverzeichnis"/>
      </w:pPr>
      <w:r>
        <w:t xml:space="preserve">Farrell, S., &amp; Lewandowsky, S. (2018).</w:t>
      </w:r>
      <w:r>
        <w:t xml:space="preserve"> </w:t>
      </w:r>
      <w:r>
        <w:rPr>
          <w:i/>
          <w:iCs/>
        </w:rPr>
        <w:t xml:space="preserve">Computational</w:t>
      </w:r>
      <w:r>
        <w:rPr>
          <w:i/>
          <w:iCs/>
        </w:rPr>
        <w:t xml:space="preserve"> </w:t>
      </w:r>
      <w:r>
        <w:rPr>
          <w:i/>
          <w:iCs/>
        </w:rPr>
        <w:t xml:space="preserve">Modeling</w:t>
      </w:r>
      <w:r>
        <w:rPr>
          <w:i/>
          <w:iCs/>
        </w:rPr>
        <w:t xml:space="preserve"> </w:t>
      </w:r>
      <w:r>
        <w:rPr>
          <w:i/>
          <w:iCs/>
        </w:rPr>
        <w:t xml:space="preserve">of</w:t>
      </w:r>
      <w:r>
        <w:rPr>
          <w:i/>
          <w:iCs/>
        </w:rPr>
        <w:t xml:space="preserve"> </w:t>
      </w:r>
      <w:r>
        <w:rPr>
          <w:i/>
          <w:iCs/>
        </w:rPr>
        <w:t xml:space="preserve">Cognition</w:t>
      </w:r>
      <w:r>
        <w:rPr>
          <w:i/>
          <w:iCs/>
        </w:rPr>
        <w:t xml:space="preserve"> </w:t>
      </w:r>
      <w:r>
        <w:rPr>
          <w:i/>
          <w:iCs/>
        </w:rPr>
        <w:t xml:space="preserve">and</w:t>
      </w:r>
      <w:r>
        <w:rPr>
          <w:i/>
          <w:iCs/>
        </w:rPr>
        <w:t xml:space="preserve"> </w:t>
      </w:r>
      <w:r>
        <w:rPr>
          <w:i/>
          <w:iCs/>
        </w:rPr>
        <w:t xml:space="preserve">Behavior</w:t>
      </w:r>
      <w:r>
        <w:rPr>
          <w:i/>
          <w:iCs/>
        </w:rPr>
        <w:t xml:space="preserve">:</w:t>
      </w:r>
      <w:r>
        <w:t xml:space="preserve"> </w:t>
      </w:r>
      <w:r>
        <w:t xml:space="preserve">(1st ed.). Cambridge University Press.</w:t>
      </w:r>
      <w:r>
        <w:t xml:space="preserve"> </w:t>
      </w:r>
      <w:hyperlink r:id="rId91">
        <w:r>
          <w:rPr>
            <w:rStyle w:val="Hyperlink"/>
          </w:rPr>
          <w:t xml:space="preserve">https://doi.org/10.1017/CBO9781316272503</w:t>
        </w:r>
      </w:hyperlink>
    </w:p>
    <w:bookmarkEnd w:id="92"/>
    <w:bookmarkStart w:id="94" w:name="ref-frank2025"/>
    <w:p>
      <w:pPr>
        <w:pStyle w:val="Literaturverzeichnis"/>
      </w:pPr>
      <w:r>
        <w:t xml:space="preserve">Frank, M. C., Braginsky, M., Cachia, J., Coles, N. A., Hardwicke, T. E., Hawkins, R. D., … Williams, R. (2025, January 30). Experimentology. Retrieved July 4, 2025, from</w:t>
      </w:r>
      <w:r>
        <w:t xml:space="preserve"> </w:t>
      </w:r>
      <w:hyperlink r:id="rId93">
        <w:r>
          <w:rPr>
            <w:rStyle w:val="Hyperlink"/>
          </w:rPr>
          <w:t xml:space="preserve">https://experimentology.io/</w:t>
        </w:r>
      </w:hyperlink>
    </w:p>
    <w:bookmarkEnd w:id="94"/>
    <w:bookmarkStart w:id="96" w:name="ref-heathcote2019"/>
    <w:p>
      <w:pPr>
        <w:pStyle w:val="Literaturverzeichnis"/>
      </w:pPr>
      <w:r>
        <w:t xml:space="preserve">Heathcote, A., Lin, Y.-S., Reynolds, A., Strickland, L., Gretton, M., &amp; Matzke, D. (2019). Dynamic models of choice.</w:t>
      </w:r>
      <w:r>
        <w:t xml:space="preserve"> </w:t>
      </w:r>
      <w:r>
        <w:rPr>
          <w:i/>
          <w:iCs/>
        </w:rPr>
        <w:t xml:space="preserve">Behavior Research Methods</w:t>
      </w:r>
      <w:r>
        <w:t xml:space="preserve">,</w:t>
      </w:r>
      <w:r>
        <w:t xml:space="preserve"> </w:t>
      </w:r>
      <w:r>
        <w:rPr>
          <w:i/>
          <w:iCs/>
        </w:rPr>
        <w:t xml:space="preserve">51</w:t>
      </w:r>
      <w:r>
        <w:t xml:space="preserve">(2), 961–985.</w:t>
      </w:r>
      <w:r>
        <w:t xml:space="preserve"> </w:t>
      </w:r>
      <w:hyperlink r:id="rId95">
        <w:r>
          <w:rPr>
            <w:rStyle w:val="Hyperlink"/>
          </w:rPr>
          <w:t xml:space="preserve">https://doi.org/10.3758/s13428-018-1067-y</w:t>
        </w:r>
      </w:hyperlink>
    </w:p>
    <w:bookmarkEnd w:id="96"/>
    <w:bookmarkStart w:id="97" w:name="ref-hintzman1991"/>
    <w:p>
      <w:pPr>
        <w:pStyle w:val="Literaturverzeichnis"/>
      </w:pPr>
      <w:r>
        <w:t xml:space="preserve">Hintzman, D. L. (1991). Why are formal models useful in psychology? In</w:t>
      </w:r>
      <w:r>
        <w:t xml:space="preserve"> </w:t>
      </w:r>
      <w:r>
        <w:rPr>
          <w:i/>
          <w:iCs/>
        </w:rPr>
        <w:t xml:space="preserve">Relating theory and data:</w:t>
      </w:r>
      <w:r>
        <w:rPr>
          <w:i/>
          <w:iCs/>
        </w:rPr>
        <w:t xml:space="preserve"> </w:t>
      </w:r>
      <w:r>
        <w:rPr>
          <w:i/>
          <w:iCs/>
        </w:rPr>
        <w:t xml:space="preserve">Essays</w:t>
      </w:r>
      <w:r>
        <w:rPr>
          <w:i/>
          <w:iCs/>
        </w:rPr>
        <w:t xml:space="preserve"> </w:t>
      </w:r>
      <w:r>
        <w:rPr>
          <w:i/>
          <w:iCs/>
        </w:rPr>
        <w:t xml:space="preserve">on human memory in honor of</w:t>
      </w:r>
      <w:r>
        <w:rPr>
          <w:i/>
          <w:iCs/>
        </w:rPr>
        <w:t xml:space="preserve"> </w:t>
      </w:r>
      <w:r>
        <w:rPr>
          <w:i/>
          <w:iCs/>
        </w:rPr>
        <w:t xml:space="preserve">Bennet B</w:t>
      </w:r>
      <w:r>
        <w:rPr>
          <w:i/>
          <w:iCs/>
        </w:rPr>
        <w:t xml:space="preserve">.</w:t>
      </w:r>
      <w:r>
        <w:rPr>
          <w:i/>
          <w:iCs/>
        </w:rPr>
        <w:t xml:space="preserve"> </w:t>
      </w:r>
      <w:r>
        <w:rPr>
          <w:i/>
          <w:iCs/>
        </w:rPr>
        <w:t xml:space="preserve">Murdock</w:t>
      </w:r>
      <w:r>
        <w:rPr>
          <w:i/>
          <w:iCs/>
        </w:rPr>
        <w:t xml:space="preserve">.</w:t>
      </w:r>
      <w:r>
        <w:t xml:space="preserve"> </w:t>
      </w:r>
      <w:r>
        <w:t xml:space="preserve">(pp. 39–56). Hillsdale, NJ, US: Lawrence Erlbaum Associates, Inc.</w:t>
      </w:r>
    </w:p>
    <w:bookmarkEnd w:id="97"/>
    <w:bookmarkStart w:id="98" w:name="ref-kirschAdditiveRoutesAction2015"/>
    <w:p>
      <w:pPr>
        <w:pStyle w:val="Literaturverzeichnis"/>
      </w:pPr>
      <w:r>
        <w:t xml:space="preserve">Kirsch, L. P., &amp; Cross, E. S. (2015). Additive routes to action learning: Layering experience shapes engagement of the action observation network.</w:t>
      </w:r>
      <w:r>
        <w:t xml:space="preserve"> </w:t>
      </w:r>
      <w:r>
        <w:rPr>
          <w:i/>
          <w:iCs/>
        </w:rPr>
        <w:t xml:space="preserve">Cerebral Cortex</w:t>
      </w:r>
      <w:r>
        <w:t xml:space="preserve">,</w:t>
      </w:r>
      <w:r>
        <w:t xml:space="preserve"> </w:t>
      </w:r>
      <w:r>
        <w:rPr>
          <w:i/>
          <w:iCs/>
        </w:rPr>
        <w:t xml:space="preserve">25</w:t>
      </w:r>
      <w:r>
        <w:t xml:space="preserve">(12), 4799–4811.</w:t>
      </w:r>
    </w:p>
    <w:bookmarkEnd w:id="98"/>
    <w:bookmarkStart w:id="100" w:name="ref-kruschke2018"/>
    <w:p>
      <w:pPr>
        <w:pStyle w:val="Literaturverzeichnis"/>
      </w:pPr>
      <w:r>
        <w:t xml:space="preserve">Kruschke, J. K., &amp; Liddell, T. M. (2018). The</w:t>
      </w:r>
      <w:r>
        <w:t xml:space="preserve"> </w:t>
      </w:r>
      <w:r>
        <w:t xml:space="preserve">Bayesian New Statistics</w:t>
      </w:r>
      <w:r>
        <w:t xml:space="preserve">:</w:t>
      </w:r>
      <w:r>
        <w:t xml:space="preserve"> </w:t>
      </w:r>
      <w:r>
        <w:t xml:space="preserve">Hypothesis</w:t>
      </w:r>
      <w:r>
        <w:t xml:space="preserve"> </w:t>
      </w:r>
      <w:r>
        <w:t xml:space="preserve">testing, estimation, meta-analysis, and power analysis from a</w:t>
      </w:r>
      <w:r>
        <w:t xml:space="preserve"> </w:t>
      </w:r>
      <w:r>
        <w:t xml:space="preserve">Bayesian</w:t>
      </w:r>
      <w:r>
        <w:t xml:space="preserve"> </w:t>
      </w:r>
      <w:r>
        <w:t xml:space="preserve">perspective.</w:t>
      </w:r>
      <w:r>
        <w:t xml:space="preserve"> </w:t>
      </w:r>
      <w:r>
        <w:rPr>
          <w:i/>
          <w:iCs/>
        </w:rPr>
        <w:t xml:space="preserve">Psychon Bull Rev</w:t>
      </w:r>
      <w:r>
        <w:t xml:space="preserve">,</w:t>
      </w:r>
      <w:r>
        <w:t xml:space="preserve"> </w:t>
      </w:r>
      <w:r>
        <w:rPr>
          <w:i/>
          <w:iCs/>
        </w:rPr>
        <w:t xml:space="preserve">25</w:t>
      </w:r>
      <w:r>
        <w:t xml:space="preserve">(1), 178–206.</w:t>
      </w:r>
      <w:r>
        <w:t xml:space="preserve"> </w:t>
      </w:r>
      <w:hyperlink r:id="rId99">
        <w:r>
          <w:rPr>
            <w:rStyle w:val="Hyperlink"/>
          </w:rPr>
          <w:t xml:space="preserve">https://doi.org/10.3758/s13423-016-1221-4</w:t>
        </w:r>
      </w:hyperlink>
    </w:p>
    <w:bookmarkEnd w:id="100"/>
    <w:bookmarkStart w:id="102" w:name="ref-lewandowsky2018"/>
    <w:p>
      <w:pPr>
        <w:pStyle w:val="Literaturverzeichnis"/>
      </w:pPr>
      <w:r>
        <w:t xml:space="preserve">Lewandowsky, S., &amp; Oberauer, K. (2018). Computational</w:t>
      </w:r>
      <w:r>
        <w:t xml:space="preserve"> </w:t>
      </w:r>
      <w:r>
        <w:t xml:space="preserve">Modeling</w:t>
      </w:r>
      <w:r>
        <w:t xml:space="preserve"> </w:t>
      </w:r>
      <w:r>
        <w:t xml:space="preserve">in</w:t>
      </w:r>
      <w:r>
        <w:t xml:space="preserve"> </w:t>
      </w:r>
      <w:r>
        <w:t xml:space="preserve">Cognition</w:t>
      </w:r>
      <w:r>
        <w:t xml:space="preserve"> </w:t>
      </w:r>
      <w:r>
        <w:t xml:space="preserve">and</w:t>
      </w:r>
      <w:r>
        <w:t xml:space="preserve"> </w:t>
      </w:r>
      <w:r>
        <w:t xml:space="preserve">Cognitive Neuroscience</w:t>
      </w:r>
      <w:r>
        <w:t xml:space="preserve">. In</w:t>
      </w:r>
      <w:r>
        <w:t xml:space="preserve"> </w:t>
      </w:r>
      <w:r>
        <w:rPr>
          <w:i/>
          <w:iCs/>
        </w:rPr>
        <w:t xml:space="preserve">Stevens’</w:t>
      </w:r>
      <w:r>
        <w:rPr>
          <w:i/>
          <w:iCs/>
        </w:rPr>
        <w:t xml:space="preserve"> </w:t>
      </w:r>
      <w:r>
        <w:rPr>
          <w:i/>
          <w:iCs/>
        </w:rPr>
        <w:t xml:space="preserve">Handbook</w:t>
      </w:r>
      <w:r>
        <w:rPr>
          <w:i/>
          <w:iCs/>
        </w:rPr>
        <w:t xml:space="preserve"> </w:t>
      </w:r>
      <w:r>
        <w:rPr>
          <w:i/>
          <w:iCs/>
        </w:rPr>
        <w:t xml:space="preserve">of</w:t>
      </w:r>
      <w:r>
        <w:rPr>
          <w:i/>
          <w:iCs/>
        </w:rPr>
        <w:t xml:space="preserve"> </w:t>
      </w:r>
      <w:r>
        <w:rPr>
          <w:i/>
          <w:iCs/>
        </w:rPr>
        <w:t xml:space="preserve">Experimental Psychology</w:t>
      </w:r>
      <w:r>
        <w:rPr>
          <w:i/>
          <w:iCs/>
        </w:rPr>
        <w:t xml:space="preserve"> </w:t>
      </w:r>
      <w:r>
        <w:rPr>
          <w:i/>
          <w:iCs/>
        </w:rPr>
        <w:t xml:space="preserve">and</w:t>
      </w:r>
      <w:r>
        <w:rPr>
          <w:i/>
          <w:iCs/>
        </w:rPr>
        <w:t xml:space="preserve"> </w:t>
      </w:r>
      <w:r>
        <w:rPr>
          <w:i/>
          <w:iCs/>
        </w:rPr>
        <w:t xml:space="preserve">Cognitive Neuroscience</w:t>
      </w:r>
      <w:r>
        <w:t xml:space="preserve"> </w:t>
      </w:r>
      <w:r>
        <w:t xml:space="preserve">(pp. 1–35). John Wiley &amp; Sons, Ltd.</w:t>
      </w:r>
      <w:r>
        <w:t xml:space="preserve"> </w:t>
      </w:r>
      <w:hyperlink r:id="rId101">
        <w:r>
          <w:rPr>
            <w:rStyle w:val="Hyperlink"/>
          </w:rPr>
          <w:t xml:space="preserve">https://doi.org/10.1002/9781119170174.epcn501</w:t>
        </w:r>
      </w:hyperlink>
    </w:p>
    <w:bookmarkEnd w:id="102"/>
    <w:bookmarkStart w:id="104" w:name="ref-liu2012"/>
    <w:p>
      <w:pPr>
        <w:pStyle w:val="Literaturverzeichnis"/>
      </w:pPr>
      <w:r>
        <w:t xml:space="preserve">Liu, C. C., &amp; Watanabe, T. (2012). Accounting for speed–accuracy tradeoff in perceptual learning.</w:t>
      </w:r>
      <w:r>
        <w:t xml:space="preserve"> </w:t>
      </w:r>
      <w:r>
        <w:rPr>
          <w:i/>
          <w:iCs/>
        </w:rPr>
        <w:t xml:space="preserve">Vision Research</w:t>
      </w:r>
      <w:r>
        <w:t xml:space="preserve">,</w:t>
      </w:r>
      <w:r>
        <w:t xml:space="preserve"> </w:t>
      </w:r>
      <w:r>
        <w:rPr>
          <w:i/>
          <w:iCs/>
        </w:rPr>
        <w:t xml:space="preserve">61</w:t>
      </w:r>
      <w:r>
        <w:t xml:space="preserve">, 107–114.</w:t>
      </w:r>
      <w:r>
        <w:t xml:space="preserve"> </w:t>
      </w:r>
      <w:hyperlink r:id="rId103">
        <w:r>
          <w:rPr>
            <w:rStyle w:val="Hyperlink"/>
          </w:rPr>
          <w:t xml:space="preserve">https://doi.org/10.1016/j.visres.2011.09.007</w:t>
        </w:r>
      </w:hyperlink>
    </w:p>
    <w:bookmarkEnd w:id="104"/>
    <w:bookmarkStart w:id="106" w:name="ref-martin2007"/>
    <w:p>
      <w:pPr>
        <w:pStyle w:val="Literaturverzeichnis"/>
      </w:pPr>
      <w:r>
        <w:t xml:space="preserve">Martin, A. (2007). The</w:t>
      </w:r>
      <w:r>
        <w:t xml:space="preserve"> </w:t>
      </w:r>
      <w:r>
        <w:t xml:space="preserve">Representation</w:t>
      </w:r>
      <w:r>
        <w:t xml:space="preserve"> </w:t>
      </w:r>
      <w:r>
        <w:t xml:space="preserve">of</w:t>
      </w:r>
      <w:r>
        <w:t xml:space="preserve"> </w:t>
      </w:r>
      <w:r>
        <w:t xml:space="preserve">Object Concepts</w:t>
      </w:r>
      <w:r>
        <w:t xml:space="preserve"> </w:t>
      </w:r>
      <w:r>
        <w:t xml:space="preserve">in the</w:t>
      </w:r>
      <w:r>
        <w:t xml:space="preserve"> </w:t>
      </w:r>
      <w:r>
        <w:t xml:space="preserve">Brain</w:t>
      </w:r>
      <w:r>
        <w:t xml:space="preserve">.</w:t>
      </w:r>
      <w:r>
        <w:t xml:space="preserve"> </w:t>
      </w:r>
      <w:r>
        <w:rPr>
          <w:i/>
          <w:iCs/>
        </w:rPr>
        <w:t xml:space="preserve">Annual Review of Psychology</w:t>
      </w:r>
      <w:r>
        <w:t xml:space="preserve">,</w:t>
      </w:r>
      <w:r>
        <w:t xml:space="preserve"> </w:t>
      </w:r>
      <w:r>
        <w:rPr>
          <w:i/>
          <w:iCs/>
        </w:rPr>
        <w:t xml:space="preserve">58</w:t>
      </w:r>
      <w:r>
        <w:t xml:space="preserve">, 25–45.</w:t>
      </w:r>
      <w:r>
        <w:t xml:space="preserve"> </w:t>
      </w:r>
      <w:hyperlink r:id="rId105">
        <w:r>
          <w:rPr>
            <w:rStyle w:val="Hyperlink"/>
          </w:rPr>
          <w:t xml:space="preserve">https://doi.org/10.1146/annurev.psych.57.102904.190143</w:t>
        </w:r>
      </w:hyperlink>
    </w:p>
    <w:bookmarkEnd w:id="106"/>
    <w:bookmarkStart w:id="107" w:name="ref-mcelreath2020"/>
    <w:p>
      <w:pPr>
        <w:pStyle w:val="Literaturverzeichnis"/>
      </w:pPr>
      <w:r>
        <w:t xml:space="preserve">McElreath, R. (2020).</w:t>
      </w:r>
      <w:r>
        <w:t xml:space="preserve"> </w:t>
      </w:r>
      <w:r>
        <w:rPr>
          <w:i/>
          <w:iCs/>
        </w:rPr>
        <w:t xml:space="preserve">Statistical rethinking:</w:t>
      </w:r>
      <w:r>
        <w:rPr>
          <w:i/>
          <w:iCs/>
        </w:rPr>
        <w:t xml:space="preserve"> </w:t>
      </w:r>
      <w:r>
        <w:rPr>
          <w:i/>
          <w:iCs/>
        </w:rPr>
        <w:t xml:space="preserve">A Bayesian</w:t>
      </w:r>
      <w:r>
        <w:rPr>
          <w:i/>
          <w:iCs/>
        </w:rPr>
        <w:t xml:space="preserve"> </w:t>
      </w:r>
      <w:r>
        <w:rPr>
          <w:i/>
          <w:iCs/>
        </w:rPr>
        <w:t xml:space="preserve">course with examples in</w:t>
      </w:r>
      <w:r>
        <w:rPr>
          <w:i/>
          <w:iCs/>
        </w:rPr>
        <w:t xml:space="preserve"> </w:t>
      </w:r>
      <w:r>
        <w:rPr>
          <w:i/>
          <w:iCs/>
        </w:rPr>
        <w:t xml:space="preserve">R</w:t>
      </w:r>
      <w:r>
        <w:rPr>
          <w:i/>
          <w:iCs/>
        </w:rPr>
        <w:t xml:space="preserve"> </w:t>
      </w:r>
      <w:r>
        <w:rPr>
          <w:i/>
          <w:iCs/>
        </w:rPr>
        <w:t xml:space="preserve">and</w:t>
      </w:r>
      <w:r>
        <w:rPr>
          <w:i/>
          <w:iCs/>
        </w:rPr>
        <w:t xml:space="preserve"> </w:t>
      </w:r>
      <w:r>
        <w:rPr>
          <w:i/>
          <w:iCs/>
        </w:rPr>
        <w:t xml:space="preserve">Stan</w:t>
      </w:r>
      <w:r>
        <w:t xml:space="preserve">. CRC press.</w:t>
      </w:r>
    </w:p>
    <w:bookmarkEnd w:id="107"/>
    <w:bookmarkStart w:id="109" w:name="ref-myers2022a"/>
    <w:p>
      <w:pPr>
        <w:pStyle w:val="Literaturverzeichnis"/>
      </w:pPr>
      <w:r>
        <w:t xml:space="preserve">Myers, C. E., Interian, A., &amp; Moustafa, A. A. (2022). A practical introduction to using the drift diffusion model of decision-making in cognitive psychology, neuroscience, and health sciences.</w:t>
      </w:r>
      <w:r>
        <w:t xml:space="preserve"> </w:t>
      </w:r>
      <w:r>
        <w:rPr>
          <w:i/>
          <w:iCs/>
        </w:rPr>
        <w:t xml:space="preserve">Frontiers in Psychology</w:t>
      </w:r>
      <w:r>
        <w:t xml:space="preserve">,</w:t>
      </w:r>
      <w:r>
        <w:t xml:space="preserve"> </w:t>
      </w:r>
      <w:r>
        <w:rPr>
          <w:i/>
          <w:iCs/>
        </w:rPr>
        <w:t xml:space="preserve">13</w:t>
      </w:r>
      <w:r>
        <w:t xml:space="preserve">. Retrieved from</w:t>
      </w:r>
      <w:r>
        <w:t xml:space="preserve"> </w:t>
      </w:r>
      <w:hyperlink r:id="rId108">
        <w:r>
          <w:rPr>
            <w:rStyle w:val="Hyperlink"/>
          </w:rPr>
          <w:t xml:space="preserve">https://www.frontiersin.org/articles/10.3389/fpsyg.2022.1039172</w:t>
        </w:r>
      </w:hyperlink>
    </w:p>
    <w:bookmarkEnd w:id="109"/>
    <w:bookmarkStart w:id="111" w:name="ref-parker2023"/>
    <w:p>
      <w:pPr>
        <w:pStyle w:val="Literaturverzeichnis"/>
      </w:pPr>
      <w:r>
        <w:t xml:space="preserve">Parker, S., &amp; Ramsey, R. (2023a). Exploring the relationship between oculomotor preparation and gaze-cued covert shifts in attention.</w:t>
      </w:r>
      <w:r>
        <w:t xml:space="preserve"> </w:t>
      </w:r>
      <w:r>
        <w:rPr>
          <w:i/>
          <w:iCs/>
        </w:rPr>
        <w:t xml:space="preserve">Journal of Vision</w:t>
      </w:r>
      <w:r>
        <w:t xml:space="preserve">,</w:t>
      </w:r>
      <w:r>
        <w:t xml:space="preserve"> </w:t>
      </w:r>
      <w:r>
        <w:rPr>
          <w:i/>
          <w:iCs/>
        </w:rPr>
        <w:t xml:space="preserve">23</w:t>
      </w:r>
      <w:r>
        <w:t xml:space="preserve">(3), 18.</w:t>
      </w:r>
      <w:r>
        <w:t xml:space="preserve"> </w:t>
      </w:r>
      <w:hyperlink r:id="rId110">
        <w:r>
          <w:rPr>
            <w:rStyle w:val="Hyperlink"/>
          </w:rPr>
          <w:t xml:space="preserve">https://doi.org/10.1167/jov.23.3.18</w:t>
        </w:r>
      </w:hyperlink>
    </w:p>
    <w:bookmarkEnd w:id="111"/>
    <w:bookmarkStart w:id="113" w:name="ref-parker2023a"/>
    <w:p>
      <w:pPr>
        <w:pStyle w:val="Literaturverzeichnis"/>
      </w:pPr>
      <w:r>
        <w:t xml:space="preserve">Parker, S., &amp; Ramsey, R. (2023b). What can evidence accumulation modelling tell us about human social cognition?</w:t>
      </w:r>
      <w:r>
        <w:t xml:space="preserve"> </w:t>
      </w:r>
      <w:r>
        <w:rPr>
          <w:i/>
          <w:iCs/>
        </w:rPr>
        <w:t xml:space="preserve">Quarterly Journal of Experimental Psychology</w:t>
      </w:r>
      <w:r>
        <w:t xml:space="preserve">,</w:t>
      </w:r>
      <w:r>
        <w:t xml:space="preserve"> </w:t>
      </w:r>
      <w:r>
        <w:rPr>
          <w:i/>
          <w:iCs/>
        </w:rPr>
        <w:t xml:space="preserve">77</w:t>
      </w:r>
      <w:r>
        <w:t xml:space="preserve">(3), 17470218231176950.</w:t>
      </w:r>
      <w:r>
        <w:t xml:space="preserve"> </w:t>
      </w:r>
      <w:hyperlink r:id="rId112">
        <w:r>
          <w:rPr>
            <w:rStyle w:val="Hyperlink"/>
          </w:rPr>
          <w:t xml:space="preserve">https://doi.org/10.1177/17470218231176950</w:t>
        </w:r>
      </w:hyperlink>
    </w:p>
    <w:bookmarkEnd w:id="113"/>
    <w:bookmarkStart w:id="115" w:name="ref-ramsey2021"/>
    <w:p>
      <w:pPr>
        <w:pStyle w:val="Literaturverzeichnis"/>
      </w:pPr>
      <w:r>
        <w:t xml:space="preserve">Ramsey, R. (2021). A</w:t>
      </w:r>
      <w:r>
        <w:t xml:space="preserve"> </w:t>
      </w:r>
      <w:r>
        <w:t xml:space="preserve">Call</w:t>
      </w:r>
      <w:r>
        <w:t xml:space="preserve"> </w:t>
      </w:r>
      <w:r>
        <w:t xml:space="preserve">for</w:t>
      </w:r>
      <w:r>
        <w:t xml:space="preserve"> </w:t>
      </w:r>
      <w:r>
        <w:t xml:space="preserve">Greater Modesty</w:t>
      </w:r>
      <w:r>
        <w:t xml:space="preserve"> </w:t>
      </w:r>
      <w:r>
        <w:t xml:space="preserve">in</w:t>
      </w:r>
      <w:r>
        <w:t xml:space="preserve"> </w:t>
      </w:r>
      <w:r>
        <w:t xml:space="preserve">Psychology</w:t>
      </w:r>
      <w:r>
        <w:t xml:space="preserve"> </w:t>
      </w:r>
      <w:r>
        <w:t xml:space="preserve">and</w:t>
      </w:r>
      <w:r>
        <w:t xml:space="preserve"> </w:t>
      </w:r>
      <w:r>
        <w:t xml:space="preserve">Cognitive Neuroscience</w:t>
      </w:r>
      <w:r>
        <w:t xml:space="preserve">.</w:t>
      </w:r>
      <w:r>
        <w:t xml:space="preserve"> </w:t>
      </w:r>
      <w:r>
        <w:rPr>
          <w:i/>
          <w:iCs/>
        </w:rPr>
        <w:t xml:space="preserve">Collabra: Psychology</w:t>
      </w:r>
      <w:r>
        <w:t xml:space="preserve">,</w:t>
      </w:r>
      <w:r>
        <w:t xml:space="preserve"> </w:t>
      </w:r>
      <w:r>
        <w:rPr>
          <w:i/>
          <w:iCs/>
        </w:rPr>
        <w:t xml:space="preserve">7</w:t>
      </w:r>
      <w:r>
        <w:t xml:space="preserve">(1), 24091.</w:t>
      </w:r>
      <w:r>
        <w:t xml:space="preserve"> </w:t>
      </w:r>
      <w:hyperlink r:id="rId114">
        <w:r>
          <w:rPr>
            <w:rStyle w:val="Hyperlink"/>
          </w:rPr>
          <w:t xml:space="preserve">https://doi.org/10.1525/collabra.24091</w:t>
        </w:r>
      </w:hyperlink>
    </w:p>
    <w:bookmarkEnd w:id="115"/>
    <w:bookmarkStart w:id="117" w:name="ref-ratcliff2002"/>
    <w:p>
      <w:pPr>
        <w:pStyle w:val="Literaturverzeichnis"/>
      </w:pPr>
      <w:r>
        <w:t xml:space="preserve">Ratcliff, R. (2002). A diffusion model account of response time and accuracy in a brightness discrimination task:</w:t>
      </w:r>
      <w:r>
        <w:t xml:space="preserve"> </w:t>
      </w:r>
      <w:r>
        <w:t xml:space="preserve">Fitting</w:t>
      </w:r>
      <w:r>
        <w:t xml:space="preserve"> </w:t>
      </w:r>
      <w:r>
        <w:t xml:space="preserve">real data and failing to fit fake but plausible data.</w:t>
      </w:r>
      <w:r>
        <w:t xml:space="preserve"> </w:t>
      </w:r>
      <w:r>
        <w:rPr>
          <w:i/>
          <w:iCs/>
        </w:rPr>
        <w:t xml:space="preserve">Psychonomic Bulletin &amp; Review</w:t>
      </w:r>
      <w:r>
        <w:t xml:space="preserve">,</w:t>
      </w:r>
      <w:r>
        <w:t xml:space="preserve"> </w:t>
      </w:r>
      <w:r>
        <w:rPr>
          <w:i/>
          <w:iCs/>
        </w:rPr>
        <w:t xml:space="preserve">9</w:t>
      </w:r>
      <w:r>
        <w:t xml:space="preserve">(2), 278–291.</w:t>
      </w:r>
      <w:r>
        <w:t xml:space="preserve"> </w:t>
      </w:r>
      <w:hyperlink r:id="rId116">
        <w:r>
          <w:rPr>
            <w:rStyle w:val="Hyperlink"/>
          </w:rPr>
          <w:t xml:space="preserve">https://doi.org/10.3758/BF03196283</w:t>
        </w:r>
      </w:hyperlink>
    </w:p>
    <w:bookmarkEnd w:id="117"/>
    <w:bookmarkStart w:id="119" w:name="ref-ratcliff2008"/>
    <w:p>
      <w:pPr>
        <w:pStyle w:val="Literaturverzeichnis"/>
      </w:pPr>
      <w:r>
        <w:t xml:space="preserve">Ratcliff, R., &amp; McKoon, G. (2008). The</w:t>
      </w:r>
      <w:r>
        <w:t xml:space="preserve"> </w:t>
      </w:r>
      <w:r>
        <w:t xml:space="preserve">Diffusion Decision Model</w:t>
      </w:r>
      <w:r>
        <w:t xml:space="preserve">:</w:t>
      </w:r>
      <w:r>
        <w:t xml:space="preserve"> </w:t>
      </w:r>
      <w:r>
        <w:t xml:space="preserve">Theory</w:t>
      </w:r>
      <w:r>
        <w:t xml:space="preserve"> </w:t>
      </w:r>
      <w:r>
        <w:t xml:space="preserve">and</w:t>
      </w:r>
      <w:r>
        <w:t xml:space="preserve"> </w:t>
      </w:r>
      <w:r>
        <w:t xml:space="preserve">Data</w:t>
      </w:r>
      <w:r>
        <w:t xml:space="preserve"> </w:t>
      </w:r>
      <w:r>
        <w:t xml:space="preserve">for</w:t>
      </w:r>
      <w:r>
        <w:t xml:space="preserve"> </w:t>
      </w:r>
      <w:r>
        <w:t xml:space="preserve">Two-Choice Decision Tasks</w:t>
      </w:r>
      <w:r>
        <w:t xml:space="preserve">.</w:t>
      </w:r>
      <w:r>
        <w:t xml:space="preserve"> </w:t>
      </w:r>
      <w:r>
        <w:rPr>
          <w:i/>
          <w:iCs/>
        </w:rPr>
        <w:t xml:space="preserve">Neural Computation</w:t>
      </w:r>
      <w:r>
        <w:t xml:space="preserve">,</w:t>
      </w:r>
      <w:r>
        <w:t xml:space="preserve"> </w:t>
      </w:r>
      <w:r>
        <w:rPr>
          <w:i/>
          <w:iCs/>
        </w:rPr>
        <w:t xml:space="preserve">20</w:t>
      </w:r>
      <w:r>
        <w:t xml:space="preserve">(4), 873–922.</w:t>
      </w:r>
      <w:r>
        <w:t xml:space="preserve"> </w:t>
      </w:r>
      <w:hyperlink r:id="rId118">
        <w:r>
          <w:rPr>
            <w:rStyle w:val="Hyperlink"/>
          </w:rPr>
          <w:t xml:space="preserve">https://doi.org/10.1162/neco.2008.12-06-420</w:t>
        </w:r>
      </w:hyperlink>
    </w:p>
    <w:bookmarkEnd w:id="119"/>
    <w:bookmarkStart w:id="121" w:name="ref-ratcliff2016"/>
    <w:p>
      <w:pPr>
        <w:pStyle w:val="Literaturverzeichnis"/>
      </w:pPr>
      <w:r>
        <w:t xml:space="preserve">Ratcliff, R., Smith, P. L., Brown, S. D., &amp; McKoon, G. (2016). Diffusion</w:t>
      </w:r>
      <w:r>
        <w:t xml:space="preserve"> </w:t>
      </w:r>
      <w:r>
        <w:t xml:space="preserve">Decision Model</w:t>
      </w:r>
      <w:r>
        <w:t xml:space="preserve">:</w:t>
      </w:r>
      <w:r>
        <w:t xml:space="preserve"> </w:t>
      </w:r>
      <w:r>
        <w:t xml:space="preserve">Current Issues</w:t>
      </w:r>
      <w:r>
        <w:t xml:space="preserve"> </w:t>
      </w:r>
      <w:r>
        <w:t xml:space="preserve">and</w:t>
      </w:r>
      <w:r>
        <w:t xml:space="preserve"> </w:t>
      </w:r>
      <w:r>
        <w:t xml:space="preserve">History</w:t>
      </w:r>
      <w:r>
        <w:t xml:space="preserve">.</w:t>
      </w:r>
      <w:r>
        <w:t xml:space="preserve"> </w:t>
      </w:r>
      <w:r>
        <w:rPr>
          <w:i/>
          <w:iCs/>
        </w:rPr>
        <w:t xml:space="preserve">Trends in Cognitive Sciences</w:t>
      </w:r>
      <w:r>
        <w:t xml:space="preserve">,</w:t>
      </w:r>
      <w:r>
        <w:t xml:space="preserve"> </w:t>
      </w:r>
      <w:r>
        <w:rPr>
          <w:i/>
          <w:iCs/>
        </w:rPr>
        <w:t xml:space="preserve">20</w:t>
      </w:r>
      <w:r>
        <w:t xml:space="preserve">(4), 260–281.</w:t>
      </w:r>
      <w:r>
        <w:t xml:space="preserve"> </w:t>
      </w:r>
      <w:hyperlink r:id="rId120">
        <w:r>
          <w:rPr>
            <w:rStyle w:val="Hyperlink"/>
          </w:rPr>
          <w:t xml:space="preserve">https://doi.org/10.1016/j.tics.2016.01.007</w:t>
        </w:r>
      </w:hyperlink>
    </w:p>
    <w:bookmarkEnd w:id="121"/>
    <w:bookmarkStart w:id="123" w:name="ref-ratcliff2001"/>
    <w:p>
      <w:pPr>
        <w:pStyle w:val="Literaturverzeichnis"/>
      </w:pPr>
      <w:r>
        <w:t xml:space="preserve">Ratcliff, R., Thapar, A., &amp; McKoon, G. (2001). The effects of aging on reaction time in a signal detection task.</w:t>
      </w:r>
      <w:r>
        <w:t xml:space="preserve"> </w:t>
      </w:r>
      <w:r>
        <w:rPr>
          <w:i/>
          <w:iCs/>
        </w:rPr>
        <w:t xml:space="preserve">Psychology and Aging</w:t>
      </w:r>
      <w:r>
        <w:t xml:space="preserve">,</w:t>
      </w:r>
      <w:r>
        <w:t xml:space="preserve"> </w:t>
      </w:r>
      <w:r>
        <w:rPr>
          <w:i/>
          <w:iCs/>
        </w:rPr>
        <w:t xml:space="preserve">16</w:t>
      </w:r>
      <w:r>
        <w:t xml:space="preserve">(2), 323–341.</w:t>
      </w:r>
      <w:r>
        <w:t xml:space="preserve"> </w:t>
      </w:r>
      <w:hyperlink r:id="rId122">
        <w:r>
          <w:rPr>
            <w:rStyle w:val="Hyperlink"/>
          </w:rPr>
          <w:t xml:space="preserve">https://doi.org/10.1037/0882-7974.16.2.323</w:t>
        </w:r>
      </w:hyperlink>
    </w:p>
    <w:bookmarkEnd w:id="123"/>
    <w:bookmarkStart w:id="125" w:name="ref-ratcliff2006"/>
    <w:p>
      <w:pPr>
        <w:pStyle w:val="Literaturverzeichnis"/>
      </w:pPr>
      <w:r>
        <w:t xml:space="preserve">Ratcliff, R., Thapar, A., &amp; McKoon, G. (2006). Aging, practice, and perceptual tasks:</w:t>
      </w:r>
      <w:r>
        <w:t xml:space="preserve"> </w:t>
      </w:r>
      <w:r>
        <w:t xml:space="preserve">A</w:t>
      </w:r>
      <w:r>
        <w:t xml:space="preserve"> </w:t>
      </w:r>
      <w:r>
        <w:t xml:space="preserve">diffusion model analysis.</w:t>
      </w:r>
      <w:r>
        <w:t xml:space="preserve"> </w:t>
      </w:r>
      <w:r>
        <w:rPr>
          <w:i/>
          <w:iCs/>
        </w:rPr>
        <w:t xml:space="preserve">Psychology and Aging</w:t>
      </w:r>
      <w:r>
        <w:t xml:space="preserve">,</w:t>
      </w:r>
      <w:r>
        <w:t xml:space="preserve"> </w:t>
      </w:r>
      <w:r>
        <w:rPr>
          <w:i/>
          <w:iCs/>
        </w:rPr>
        <w:t xml:space="preserve">21</w:t>
      </w:r>
      <w:r>
        <w:t xml:space="preserve">(2), 353–371.</w:t>
      </w:r>
      <w:r>
        <w:t xml:space="preserve"> </w:t>
      </w:r>
      <w:hyperlink r:id="rId124">
        <w:r>
          <w:rPr>
            <w:rStyle w:val="Hyperlink"/>
          </w:rPr>
          <w:t xml:space="preserve">https://doi.org/10.1037/0882-7974.21.2.353</w:t>
        </w:r>
      </w:hyperlink>
    </w:p>
    <w:bookmarkEnd w:id="125"/>
    <w:bookmarkStart w:id="127" w:name="ref-ratcliff2010"/>
    <w:p>
      <w:pPr>
        <w:pStyle w:val="Literaturverzeichnis"/>
      </w:pPr>
      <w:r>
        <w:t xml:space="preserve">Ratcliff, R., Thapar, A., &amp; McKoon, G. (2010). Individual differences, aging, and</w:t>
      </w:r>
      <w:r>
        <w:t xml:space="preserve"> </w:t>
      </w:r>
      <w:r>
        <w:t xml:space="preserve">IQ</w:t>
      </w:r>
      <w:r>
        <w:t xml:space="preserve"> </w:t>
      </w:r>
      <w:r>
        <w:t xml:space="preserve">in two-choice tasks.</w:t>
      </w:r>
      <w:r>
        <w:t xml:space="preserve"> </w:t>
      </w:r>
      <w:r>
        <w:rPr>
          <w:i/>
          <w:iCs/>
        </w:rPr>
        <w:t xml:space="preserve">Cognitive Psychology</w:t>
      </w:r>
      <w:r>
        <w:t xml:space="preserve">,</w:t>
      </w:r>
      <w:r>
        <w:t xml:space="preserve"> </w:t>
      </w:r>
      <w:r>
        <w:rPr>
          <w:i/>
          <w:iCs/>
        </w:rPr>
        <w:t xml:space="preserve">60</w:t>
      </w:r>
      <w:r>
        <w:t xml:space="preserve">(3), 127–157.</w:t>
      </w:r>
      <w:r>
        <w:t xml:space="preserve"> </w:t>
      </w:r>
      <w:hyperlink r:id="rId126">
        <w:r>
          <w:rPr>
            <w:rStyle w:val="Hyperlink"/>
          </w:rPr>
          <w:t xml:space="preserve">https://doi.org/10.1016/j.cogpsych.2009.09.001</w:t>
        </w:r>
      </w:hyperlink>
    </w:p>
    <w:bookmarkEnd w:id="127"/>
    <w:bookmarkStart w:id="129" w:name="ref-reinhartz2023"/>
    <w:p>
      <w:pPr>
        <w:pStyle w:val="Literaturverzeichnis"/>
      </w:pPr>
      <w:r>
        <w:t xml:space="preserve">Reinhartz, A., Strobach, T., Jacobsen, T., &amp; von Bastian, C. C. (2023). Mechanisms of</w:t>
      </w:r>
      <w:r>
        <w:t xml:space="preserve"> </w:t>
      </w:r>
      <w:r>
        <w:t xml:space="preserve">Training-Related Change</w:t>
      </w:r>
      <w:r>
        <w:t xml:space="preserve"> </w:t>
      </w:r>
      <w:r>
        <w:t xml:space="preserve">in</w:t>
      </w:r>
      <w:r>
        <w:t xml:space="preserve"> </w:t>
      </w:r>
      <w:r>
        <w:t xml:space="preserve">Processing Speed</w:t>
      </w:r>
      <w:r>
        <w:t xml:space="preserve">:</w:t>
      </w:r>
      <w:r>
        <w:t xml:space="preserve"> </w:t>
      </w:r>
      <w:r>
        <w:t xml:space="preserve">A Drift-Diffusion Model Approach</w:t>
      </w:r>
      <w:r>
        <w:t xml:space="preserve">.</w:t>
      </w:r>
      <w:r>
        <w:t xml:space="preserve"> </w:t>
      </w:r>
      <w:r>
        <w:rPr>
          <w:i/>
          <w:iCs/>
        </w:rPr>
        <w:t xml:space="preserve">Journal of Cognition</w:t>
      </w:r>
      <w:r>
        <w:t xml:space="preserve">,</w:t>
      </w:r>
      <w:r>
        <w:t xml:space="preserve"> </w:t>
      </w:r>
      <w:r>
        <w:rPr>
          <w:i/>
          <w:iCs/>
        </w:rPr>
        <w:t xml:space="preserve">6</w:t>
      </w:r>
      <w:r>
        <w:t xml:space="preserve">(1), 46.</w:t>
      </w:r>
      <w:r>
        <w:t xml:space="preserve"> </w:t>
      </w:r>
      <w:hyperlink r:id="rId128">
        <w:r>
          <w:rPr>
            <w:rStyle w:val="Hyperlink"/>
          </w:rPr>
          <w:t xml:space="preserve">https://doi.org/10.5334/joc.310</w:t>
        </w:r>
      </w:hyperlink>
    </w:p>
    <w:bookmarkEnd w:id="129"/>
    <w:bookmarkStart w:id="131" w:name="ref-simmons2012"/>
    <w:p>
      <w:pPr>
        <w:pStyle w:val="Literaturverzeichnis"/>
      </w:pPr>
      <w:r>
        <w:t xml:space="preserve">Simmons, J. P., Nelson, L. D., &amp; Simonsohn, U. (2012).</w:t>
      </w:r>
      <w:r>
        <w:t xml:space="preserve"> </w:t>
      </w:r>
      <w:r>
        <w:rPr>
          <w:i/>
          <w:iCs/>
        </w:rPr>
        <w:t xml:space="preserve">A 21</w:t>
      </w:r>
      <w:r>
        <w:rPr>
          <w:i/>
          <w:iCs/>
        </w:rPr>
        <w:t xml:space="preserve"> </w:t>
      </w:r>
      <w:r>
        <w:rPr>
          <w:i/>
          <w:iCs/>
        </w:rPr>
        <w:t xml:space="preserve">Word Solution</w:t>
      </w:r>
      <w:r>
        <w:t xml:space="preserve"> </w:t>
      </w:r>
      <w:r>
        <w:t xml:space="preserve">(SSRN Scholarly Paper No. 2160588). Rochester, NY: Social Science Research Network.</w:t>
      </w:r>
      <w:r>
        <w:t xml:space="preserve"> </w:t>
      </w:r>
      <w:hyperlink r:id="rId130">
        <w:r>
          <w:rPr>
            <w:rStyle w:val="Hyperlink"/>
          </w:rPr>
          <w:t xml:space="preserve">https://doi.org/10.2139/ssrn.2160588</w:t>
        </w:r>
      </w:hyperlink>
    </w:p>
    <w:bookmarkEnd w:id="131"/>
    <w:bookmarkStart w:id="133" w:name="ref-simons2017"/>
    <w:p>
      <w:pPr>
        <w:pStyle w:val="Literaturverzeichnis"/>
      </w:pPr>
      <w:r>
        <w:t xml:space="preserve">Simons, D. J., Shoda, Y., &amp; Lindsay, D. S. (2017). Constraints on</w:t>
      </w:r>
      <w:r>
        <w:t xml:space="preserve"> </w:t>
      </w:r>
      <w:r>
        <w:t xml:space="preserve">Generality</w:t>
      </w:r>
      <w:r>
        <w:t xml:space="preserve"> </w:t>
      </w:r>
      <w:r>
        <w:t xml:space="preserve">(</w:t>
      </w:r>
      <w:r>
        <w:t xml:space="preserve">COG</w:t>
      </w:r>
      <w:r>
        <w:t xml:space="preserve">):</w:t>
      </w:r>
      <w:r>
        <w:t xml:space="preserve"> </w:t>
      </w:r>
      <w:r>
        <w:t xml:space="preserve">A Proposed Addition</w:t>
      </w:r>
      <w:r>
        <w:t xml:space="preserve"> </w:t>
      </w:r>
      <w:r>
        <w:t xml:space="preserve">to</w:t>
      </w:r>
      <w:r>
        <w:t xml:space="preserve"> </w:t>
      </w:r>
      <w:r>
        <w:t xml:space="preserve">All Empirical Papers</w:t>
      </w:r>
      <w:r>
        <w:t xml:space="preserve">.</w:t>
      </w:r>
      <w:r>
        <w:t xml:space="preserve"> </w:t>
      </w:r>
      <w:r>
        <w:rPr>
          <w:i/>
          <w:iCs/>
        </w:rPr>
        <w:t xml:space="preserve">Perspectives on Psychological Science</w:t>
      </w:r>
      <w:r>
        <w:t xml:space="preserve">,</w:t>
      </w:r>
      <w:r>
        <w:t xml:space="preserve"> </w:t>
      </w:r>
      <w:r>
        <w:rPr>
          <w:i/>
          <w:iCs/>
        </w:rPr>
        <w:t xml:space="preserve">12</w:t>
      </w:r>
      <w:r>
        <w:t xml:space="preserve">(6), 1123–1128.</w:t>
      </w:r>
      <w:r>
        <w:t xml:space="preserve"> </w:t>
      </w:r>
      <w:hyperlink r:id="rId132">
        <w:r>
          <w:rPr>
            <w:rStyle w:val="Hyperlink"/>
          </w:rPr>
          <w:t xml:space="preserve">https://doi.org/10.1177/1745691617708630</w:t>
        </w:r>
      </w:hyperlink>
    </w:p>
    <w:bookmarkEnd w:id="133"/>
    <w:bookmarkStart w:id="135" w:name="ref-strobach2013"/>
    <w:p>
      <w:pPr>
        <w:pStyle w:val="Literaturverzeichnis"/>
      </w:pPr>
      <w:r>
        <w:t xml:space="preserve">Strobach, T., Liepelt, R., Pashler, H., Frensch, P. A., &amp; Schubert, T. (2013). Effects of extensive dual-task practice on processing stages in simultaneous choice tasks.</w:t>
      </w:r>
      <w:r>
        <w:t xml:space="preserve"> </w:t>
      </w:r>
      <w:r>
        <w:rPr>
          <w:i/>
          <w:iCs/>
        </w:rPr>
        <w:t xml:space="preserve">Attention, Perception, &amp; Psychophysics</w:t>
      </w:r>
      <w:r>
        <w:t xml:space="preserve">,</w:t>
      </w:r>
      <w:r>
        <w:t xml:space="preserve"> </w:t>
      </w:r>
      <w:r>
        <w:rPr>
          <w:i/>
          <w:iCs/>
        </w:rPr>
        <w:t xml:space="preserve">75</w:t>
      </w:r>
      <w:r>
        <w:t xml:space="preserve">(5), 900–920.</w:t>
      </w:r>
      <w:r>
        <w:t xml:space="preserve"> </w:t>
      </w:r>
      <w:hyperlink r:id="rId134">
        <w:r>
          <w:rPr>
            <w:rStyle w:val="Hyperlink"/>
          </w:rPr>
          <w:t xml:space="preserve">https://doi.org/10.3758/s13414-013-0451-z</w:t>
        </w:r>
      </w:hyperlink>
    </w:p>
    <w:bookmarkEnd w:id="135"/>
    <w:bookmarkStart w:id="137" w:name="ref-wagenmakers2008"/>
    <w:p>
      <w:pPr>
        <w:pStyle w:val="Literaturverzeichnis"/>
      </w:pPr>
      <w:r>
        <w:t xml:space="preserve">Wagenmakers, E.-J., Ratcliff, R., Gomez, P., &amp; McKoon, G. (2008). A diffusion model account of criterion shifts in the lexical decision task.</w:t>
      </w:r>
      <w:r>
        <w:t xml:space="preserve"> </w:t>
      </w:r>
      <w:r>
        <w:rPr>
          <w:i/>
          <w:iCs/>
        </w:rPr>
        <w:t xml:space="preserve">Journal of Memory and Language</w:t>
      </w:r>
      <w:r>
        <w:t xml:space="preserve">,</w:t>
      </w:r>
      <w:r>
        <w:t xml:space="preserve"> </w:t>
      </w:r>
      <w:r>
        <w:rPr>
          <w:i/>
          <w:iCs/>
        </w:rPr>
        <w:t xml:space="preserve">58</w:t>
      </w:r>
      <w:r>
        <w:t xml:space="preserve">(1), 140–159.</w:t>
      </w:r>
      <w:r>
        <w:t xml:space="preserve"> </w:t>
      </w:r>
      <w:hyperlink r:id="rId136">
        <w:r>
          <w:rPr>
            <w:rStyle w:val="Hyperlink"/>
          </w:rPr>
          <w:t xml:space="preserve">https://doi.org/10.1016/j.jml.2007.04.006</w:t>
        </w:r>
      </w:hyperlink>
    </w:p>
    <w:bookmarkEnd w:id="137"/>
    <w:bookmarkStart w:id="139" w:name="ref-wagenmakers2007"/>
    <w:p>
      <w:pPr>
        <w:pStyle w:val="Literaturverzeichnis"/>
      </w:pPr>
      <w:r>
        <w:t xml:space="preserve">Wagenmakers, E.-J., Van Der Maas, H. L. J., &amp; Grasman, R. P. P. P. (2007). An</w:t>
      </w:r>
      <w:r>
        <w:t xml:space="preserve"> </w:t>
      </w:r>
      <w:r>
        <w:t xml:space="preserve">EZ-diffusion</w:t>
      </w:r>
      <w:r>
        <w:t xml:space="preserve"> </w:t>
      </w:r>
      <w:r>
        <w:t xml:space="preserve">model for response time and accuracy.</w:t>
      </w:r>
      <w:r>
        <w:t xml:space="preserve"> </w:t>
      </w:r>
      <w:r>
        <w:rPr>
          <w:i/>
          <w:iCs/>
        </w:rPr>
        <w:t xml:space="preserve">Psychonomic Bulletin &amp; Review</w:t>
      </w:r>
      <w:r>
        <w:t xml:space="preserve">,</w:t>
      </w:r>
      <w:r>
        <w:t xml:space="preserve"> </w:t>
      </w:r>
      <w:r>
        <w:rPr>
          <w:i/>
          <w:iCs/>
        </w:rPr>
        <w:t xml:space="preserve">14</w:t>
      </w:r>
      <w:r>
        <w:t xml:space="preserve">(1), 3–22.</w:t>
      </w:r>
      <w:r>
        <w:t xml:space="preserve"> </w:t>
      </w:r>
      <w:hyperlink r:id="rId138">
        <w:r>
          <w:rPr>
            <w:rStyle w:val="Hyperlink"/>
          </w:rPr>
          <w:t xml:space="preserve">https://doi.org/10.3758/BF03194023</w:t>
        </w:r>
      </w:hyperlink>
    </w:p>
    <w:bookmarkEnd w:id="139"/>
    <w:bookmarkStart w:id="141" w:name="ref-ward2017"/>
    <w:p>
      <w:pPr>
        <w:pStyle w:val="Literaturverzeichnis"/>
      </w:pPr>
      <w:r>
        <w:t xml:space="preserve">Ward, N., Paul, E., Watson, P., Cooke, G. E., Hillman, C. H., Cohen, N. J., … Barbey, A. K. (2017). Enhanced</w:t>
      </w:r>
      <w:r>
        <w:t xml:space="preserve"> </w:t>
      </w:r>
      <w:r>
        <w:t xml:space="preserve">Learning</w:t>
      </w:r>
      <w:r>
        <w:t xml:space="preserve"> </w:t>
      </w:r>
      <w:r>
        <w:t xml:space="preserve">through</w:t>
      </w:r>
      <w:r>
        <w:t xml:space="preserve"> </w:t>
      </w:r>
      <w:r>
        <w:t xml:space="preserve">Multimodal Training</w:t>
      </w:r>
      <w:r>
        <w:t xml:space="preserve">:</w:t>
      </w:r>
      <w:r>
        <w:t xml:space="preserve"> </w:t>
      </w:r>
      <w:r>
        <w:t xml:space="preserve">Evidence</w:t>
      </w:r>
      <w:r>
        <w:t xml:space="preserve"> </w:t>
      </w:r>
      <w:r>
        <w:t xml:space="preserve">from a</w:t>
      </w:r>
      <w:r>
        <w:t xml:space="preserve"> </w:t>
      </w:r>
      <w:r>
        <w:t xml:space="preserve">Comprehensive Cognitive</w:t>
      </w:r>
      <w:r>
        <w:t xml:space="preserve">,</w:t>
      </w:r>
      <w:r>
        <w:t xml:space="preserve"> </w:t>
      </w:r>
      <w:r>
        <w:t xml:space="preserve">Physical Fitness</w:t>
      </w:r>
      <w:r>
        <w:t xml:space="preserve">, and</w:t>
      </w:r>
      <w:r>
        <w:t xml:space="preserve"> </w:t>
      </w:r>
      <w:r>
        <w:t xml:space="preserve">Neuroscience Intervention</w:t>
      </w:r>
      <w:r>
        <w:t xml:space="preserve">.</w:t>
      </w:r>
      <w:r>
        <w:t xml:space="preserve"> </w:t>
      </w:r>
      <w:r>
        <w:rPr>
          <w:i/>
          <w:iCs/>
        </w:rPr>
        <w:t xml:space="preserve">Scientific Reports</w:t>
      </w:r>
      <w:r>
        <w:t xml:space="preserve">,</w:t>
      </w:r>
      <w:r>
        <w:t xml:space="preserve"> </w:t>
      </w:r>
      <w:r>
        <w:rPr>
          <w:i/>
          <w:iCs/>
        </w:rPr>
        <w:t xml:space="preserve">7</w:t>
      </w:r>
      <w:r>
        <w:t xml:space="preserve">(1), 5808.</w:t>
      </w:r>
      <w:r>
        <w:t xml:space="preserve"> </w:t>
      </w:r>
      <w:hyperlink r:id="rId140">
        <w:r>
          <w:rPr>
            <w:rStyle w:val="Hyperlink"/>
          </w:rPr>
          <w:t xml:space="preserve">https://doi.org/10.1038/s41598-017-06237-5</w:t>
        </w:r>
      </w:hyperlink>
    </w:p>
    <w:bookmarkEnd w:id="141"/>
    <w:bookmarkStart w:id="143" w:name="ref-yarkoni2022"/>
    <w:p>
      <w:pPr>
        <w:pStyle w:val="Literaturverzeichnis"/>
      </w:pPr>
      <w:r>
        <w:t xml:space="preserve">Yarkoni, T. (2022). The generalizability crisis.</w:t>
      </w:r>
      <w:r>
        <w:t xml:space="preserve"> </w:t>
      </w:r>
      <w:r>
        <w:rPr>
          <w:i/>
          <w:iCs/>
        </w:rPr>
        <w:t xml:space="preserve">Behavioral and Brain Sciences</w:t>
      </w:r>
      <w:r>
        <w:t xml:space="preserve">,</w:t>
      </w:r>
      <w:r>
        <w:t xml:space="preserve"> </w:t>
      </w:r>
      <w:r>
        <w:rPr>
          <w:i/>
          <w:iCs/>
        </w:rPr>
        <w:t xml:space="preserve">45</w:t>
      </w:r>
      <w:r>
        <w:t xml:space="preserve">, e1.</w:t>
      </w:r>
      <w:r>
        <w:t xml:space="preserve"> </w:t>
      </w:r>
      <w:hyperlink r:id="rId142">
        <w:r>
          <w:rPr>
            <w:rStyle w:val="Hyperlink"/>
          </w:rPr>
          <w:t xml:space="preserve">https://doi.org/10.1017/S0140525X20001685</w:t>
        </w:r>
      </w:hyperlink>
    </w:p>
    <w:bookmarkEnd w:id="143"/>
    <w:bookmarkStart w:id="145" w:name="ref-zhang2014"/>
    <w:p>
      <w:pPr>
        <w:pStyle w:val="Literaturverzeichnis"/>
      </w:pPr>
      <w:r>
        <w:t xml:space="preserve">Zhang, J., &amp; Rowe, J. B. (2014). Dissociable mechanisms of speed-accuracy tradeoff during visual perceptual learning are revealed by a hierarchical drift-diffusion model.</w:t>
      </w:r>
      <w:r>
        <w:t xml:space="preserve"> </w:t>
      </w:r>
      <w:r>
        <w:rPr>
          <w:i/>
          <w:iCs/>
        </w:rPr>
        <w:t xml:space="preserve">Frontiers in Neuroscience</w:t>
      </w:r>
      <w:r>
        <w:t xml:space="preserve">,</w:t>
      </w:r>
      <w:r>
        <w:t xml:space="preserve"> </w:t>
      </w:r>
      <w:r>
        <w:rPr>
          <w:i/>
          <w:iCs/>
        </w:rPr>
        <w:t xml:space="preserve">8</w:t>
      </w:r>
      <w:r>
        <w:t xml:space="preserve">.</w:t>
      </w:r>
      <w:r>
        <w:t xml:space="preserve"> </w:t>
      </w:r>
      <w:hyperlink r:id="rId144">
        <w:r>
          <w:rPr>
            <w:rStyle w:val="Hyperlink"/>
          </w:rPr>
          <w:t xml:space="preserve">https://doi.org/10.3389/fnins.2014.00069</w:t>
        </w:r>
      </w:hyperlink>
    </w:p>
    <w:bookmarkEnd w:id="145"/>
    <w:bookmarkEnd w:id="146"/>
    <w:bookmarkEnd w:id="147"/>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unotentext"/>
      </w:pPr>
      <w:r>
        <w:rPr>
          <w:rStyle w:val="Funotenzeichen"/>
        </w:rPr>
        <w:footnoteRef/>
      </w:r>
      <w:r>
        <w:t xml:space="preserve"> </w:t>
      </w:r>
      <w:r>
        <w:t xml:space="preserve">We use the term</w:t>
      </w:r>
      <w:r>
        <w:t xml:space="preserve"> </w:t>
      </w:r>
      <w:r>
        <w:t xml:space="preserve">‘computational model’</w:t>
      </w:r>
      <w:r>
        <w:t xml:space="preserve"> </w:t>
      </w:r>
      <w:r>
        <w:t xml:space="preserve">like others in the cognitive modeling literature (Farrell &amp; Lewandowsky, 2018) to refer to formal mathematical models that specify latent cognitive processes and generate quantitative predictions about behavior.</w:t>
      </w:r>
    </w:p>
  </w:footnote>
  <w:footnote w:id="27">
    <w:p>
      <w:pPr>
        <w:pStyle w:val="Funotentext"/>
      </w:pPr>
      <w:r>
        <w:rPr>
          <w:rStyle w:val="Funotenzeichen"/>
        </w:rPr>
        <w:footnoteRef/>
      </w:r>
      <w:r>
        <w:t xml:space="preserve"> </w:t>
      </w:r>
      <w:r>
        <w:t xml:space="preserve">We chose to use the LBA model because it is computationally easier to fit than other alternatives, such as the drift diffusion model (Brown &amp; Heathcote, 2008), and also because our lab has past experience with those models</w:t>
      </w:r>
      <w:r>
        <w:t xml:space="preserve"> </w:t>
      </w:r>
      <w:r>
        <w:t xml:space="preserve">(Parker &amp; Ramsey, 2023b, 2023a)</w:t>
      </w:r>
      <w:r>
        <w:t xml:space="preserve">. However, given the shared assumptions between these models, both would have been suitable candidates to address the questions of interest in this paper.</w:t>
      </w:r>
    </w:p>
  </w:footnote>
  <w:footnote w:id="28">
    <w:p>
      <w:pPr>
        <w:pStyle w:val="Funotentext"/>
      </w:pPr>
      <w:r>
        <w:rPr>
          <w:rStyle w:val="Funotenzeichen"/>
        </w:rPr>
        <w:footnoteRef/>
      </w:r>
      <w:r>
        <w:t xml:space="preserve"> </w:t>
      </w:r>
      <w:r>
        <w:t xml:space="preserve">We did not estimate training effects on start point since the interpretation of such effects would not be meaningful for this type of training and task. For example, after gaining knowledge of the name of a knot, it is unclear how it could lead to a general bias towards making a</w:t>
      </w:r>
      <w:r>
        <w:t xml:space="preserve"> </w:t>
      </w:r>
      <w:r>
        <w:t xml:space="preserve">“same”</w:t>
      </w:r>
      <w:r>
        <w:t xml:space="preserve"> </w:t>
      </w:r>
      <w:r>
        <w:t xml:space="preserve">versus</w:t>
      </w:r>
      <w:r>
        <w:t xml:space="preserve"> </w:t>
      </w:r>
      <w:r>
        <w:t xml:space="preserve">“different”</w:t>
      </w:r>
      <w:r>
        <w:t xml:space="preserve"> </w:t>
      </w:r>
      <w:r>
        <w:t xml:space="preserve">keypress repsonse. In other words, whilst we have clear reasons why newly acquired knowledge following training can help solve the task correctly, we cannot see how it would make one reponse key more likely in general.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DECISION MODELS AND EXPERIENCE-DEPENDENT PLASTICITY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DECISION MODELS AND EXPERIENCE-DEPENDENT PLASTICITY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4" Target="media/rId44.jpg" /><Relationship Type="http://schemas.openxmlformats.org/officeDocument/2006/relationships/image" Id="rId54" Target="media/rId54.jpg" /><Relationship Type="http://schemas.openxmlformats.org/officeDocument/2006/relationships/image" Id="rId22" Target="media/rId22.jpg" /><Relationship Type="http://schemas.openxmlformats.org/officeDocument/2006/relationships/image" Id="rId59" Target="media/rId59.jpg" /><Relationship Type="http://schemas.openxmlformats.org/officeDocument/2006/relationships/image" Id="rId49" Target="media/rId49.jpg" /><Relationship Type="http://schemas.openxmlformats.org/officeDocument/2006/relationships/image" Id="rId33" Target="media/rId33.png" /><Relationship Type="http://schemas.openxmlformats.org/officeDocument/2006/relationships/hyperlink" Id="rId30" Target="https://aspredicted.org/6ztj-45s5.pdf" TargetMode="External" /><Relationship Type="http://schemas.openxmlformats.org/officeDocument/2006/relationships/hyperlink" Id="rId101" Target="https://doi.org/10.1002/9781119170174.epcn501" TargetMode="External" /><Relationship Type="http://schemas.openxmlformats.org/officeDocument/2006/relationships/hyperlink" Id="rId73" Target="https://doi.org/10.1016/j.cogpsych.2007.12.002" TargetMode="External" /><Relationship Type="http://schemas.openxmlformats.org/officeDocument/2006/relationships/hyperlink" Id="rId126" Target="https://doi.org/10.1016/j.cogpsych.2009.09.001" TargetMode="External" /><Relationship Type="http://schemas.openxmlformats.org/officeDocument/2006/relationships/hyperlink" Id="rId136" Target="https://doi.org/10.1016/j.jml.2007.04.006" TargetMode="External" /><Relationship Type="http://schemas.openxmlformats.org/officeDocument/2006/relationships/hyperlink" Id="rId79" Target="https://doi.org/10.1016/j.neuropsychologia.2012.09.028" TargetMode="External" /><Relationship Type="http://schemas.openxmlformats.org/officeDocument/2006/relationships/hyperlink" Id="rId120" Target="https://doi.org/10.1016/j.tics.2016.01.007" TargetMode="External" /><Relationship Type="http://schemas.openxmlformats.org/officeDocument/2006/relationships/hyperlink" Id="rId103" Target="https://doi.org/10.1016/j.visres.2011.09.007" TargetMode="External" /><Relationship Type="http://schemas.openxmlformats.org/officeDocument/2006/relationships/hyperlink" Id="rId91" Target="https://doi.org/10.1017/CBO9781316272503" TargetMode="External" /><Relationship Type="http://schemas.openxmlformats.org/officeDocument/2006/relationships/hyperlink" Id="rId142" Target="https://doi.org/10.1017/S0140525X20001685" TargetMode="External" /><Relationship Type="http://schemas.openxmlformats.org/officeDocument/2006/relationships/hyperlink" Id="rId85" Target="https://doi.org/10.1027/1618-3169/a000111" TargetMode="External" /><Relationship Type="http://schemas.openxmlformats.org/officeDocument/2006/relationships/hyperlink" Id="rId122" Target="https://doi.org/10.1037/0882-7974.16.2.323" TargetMode="External" /><Relationship Type="http://schemas.openxmlformats.org/officeDocument/2006/relationships/hyperlink" Id="rId124" Target="https://doi.org/10.1037/0882-7974.21.2.353" TargetMode="External" /><Relationship Type="http://schemas.openxmlformats.org/officeDocument/2006/relationships/hyperlink" Id="rId75" Target="https://doi.org/10.1037/xhp0000638" TargetMode="External" /><Relationship Type="http://schemas.openxmlformats.org/officeDocument/2006/relationships/hyperlink" Id="rId77" Target="https://doi.org/10.1038/s41539-023-00168-9" TargetMode="External" /><Relationship Type="http://schemas.openxmlformats.org/officeDocument/2006/relationships/hyperlink" Id="rId140" Target="https://doi.org/10.1038/s41598-017-06237-5" TargetMode="External" /><Relationship Type="http://schemas.openxmlformats.org/officeDocument/2006/relationships/hyperlink" Id="rId105" Target="https://doi.org/10.1146/annurev.psych.57.102904.190143" TargetMode="External" /><Relationship Type="http://schemas.openxmlformats.org/officeDocument/2006/relationships/hyperlink" Id="rId118" Target="https://doi.org/10.1162/neco.2008.12-06-420" TargetMode="External" /><Relationship Type="http://schemas.openxmlformats.org/officeDocument/2006/relationships/hyperlink" Id="rId110" Target="https://doi.org/10.1167/jov.23.3.18" TargetMode="External" /><Relationship Type="http://schemas.openxmlformats.org/officeDocument/2006/relationships/hyperlink" Id="rId81" Target="https://doi.org/10.1177/0956797613504966" TargetMode="External" /><Relationship Type="http://schemas.openxmlformats.org/officeDocument/2006/relationships/hyperlink" Id="rId132" Target="https://doi.org/10.1177/1745691617708630" TargetMode="External" /><Relationship Type="http://schemas.openxmlformats.org/officeDocument/2006/relationships/hyperlink" Id="rId112" Target="https://doi.org/10.1177/17470218231176950" TargetMode="External" /><Relationship Type="http://schemas.openxmlformats.org/officeDocument/2006/relationships/hyperlink" Id="rId114" Target="https://doi.org/10.1525/collabra.24091" TargetMode="External" /><Relationship Type="http://schemas.openxmlformats.org/officeDocument/2006/relationships/hyperlink" Id="rId130" Target="https://doi.org/10.2139/ssrn.2160588" TargetMode="External" /><Relationship Type="http://schemas.openxmlformats.org/officeDocument/2006/relationships/hyperlink" Id="rId89" Target="https://doi.org/10.31234/osf.io/2xu7f" TargetMode="External" /><Relationship Type="http://schemas.openxmlformats.org/officeDocument/2006/relationships/hyperlink" Id="rId71" Target="https://doi.org/10.32614/CRAN.package.papaja" TargetMode="External" /><Relationship Type="http://schemas.openxmlformats.org/officeDocument/2006/relationships/hyperlink" Id="rId144" Target="https://doi.org/10.3389/fnins.2014.00069" TargetMode="External" /><Relationship Type="http://schemas.openxmlformats.org/officeDocument/2006/relationships/hyperlink" Id="rId87" Target="https://doi.org/10.3758/16.6.1026" TargetMode="External" /><Relationship Type="http://schemas.openxmlformats.org/officeDocument/2006/relationships/hyperlink" Id="rId138" Target="https://doi.org/10.3758/BF03194023" TargetMode="External" /><Relationship Type="http://schemas.openxmlformats.org/officeDocument/2006/relationships/hyperlink" Id="rId116" Target="https://doi.org/10.3758/BF03196283" TargetMode="External" /><Relationship Type="http://schemas.openxmlformats.org/officeDocument/2006/relationships/hyperlink" Id="rId83" Target="https://doi.org/10.3758/BRM.41.4.1095" TargetMode="External" /><Relationship Type="http://schemas.openxmlformats.org/officeDocument/2006/relationships/hyperlink" Id="rId134" Target="https://doi.org/10.3758/s13414-013-0451-z" TargetMode="External" /><Relationship Type="http://schemas.openxmlformats.org/officeDocument/2006/relationships/hyperlink" Id="rId99" Target="https://doi.org/10.3758/s13423-016-1221-4" TargetMode="External" /><Relationship Type="http://schemas.openxmlformats.org/officeDocument/2006/relationships/hyperlink" Id="rId95" Target="https://doi.org/10.3758/s13428-018-1067-y" TargetMode="External" /><Relationship Type="http://schemas.openxmlformats.org/officeDocument/2006/relationships/hyperlink" Id="rId128" Target="https://doi.org/10.5334/joc.310" TargetMode="External" /><Relationship Type="http://schemas.openxmlformats.org/officeDocument/2006/relationships/hyperlink" Id="rId93" Target="https://experimentology.io/" TargetMode="External" /><Relationship Type="http://schemas.openxmlformats.org/officeDocument/2006/relationships/hyperlink" Id="rId31" Target="https://github.com/rich-ramsey/knot_dmc" TargetMode="External" /><Relationship Type="http://schemas.openxmlformats.org/officeDocument/2006/relationships/hyperlink" Id="rId108" Target="https://www.frontiersin.org/articles/10.3389/fpsyg.2022.1039172" TargetMode="External" /><Relationship Type="http://schemas.openxmlformats.org/officeDocument/2006/relationships/hyperlink" Id="rId20" Target="mailto:richard.ramsey@hest.ethz.ch" TargetMode="External" /></Relationships>
</file>

<file path=word/_rels/footnotes.xml.rels><?xml version="1.0" encoding="UTF-8"?><Relationships xmlns="http://schemas.openxmlformats.org/package/2006/relationships"><Relationship Type="http://schemas.openxmlformats.org/officeDocument/2006/relationships/hyperlink" Id="rId30" Target="https://aspredicted.org/6ztj-45s5.pdf" TargetMode="External" /><Relationship Type="http://schemas.openxmlformats.org/officeDocument/2006/relationships/hyperlink" Id="rId101" Target="https://doi.org/10.1002/9781119170174.epcn501" TargetMode="External" /><Relationship Type="http://schemas.openxmlformats.org/officeDocument/2006/relationships/hyperlink" Id="rId73" Target="https://doi.org/10.1016/j.cogpsych.2007.12.002" TargetMode="External" /><Relationship Type="http://schemas.openxmlformats.org/officeDocument/2006/relationships/hyperlink" Id="rId126" Target="https://doi.org/10.1016/j.cogpsych.2009.09.001" TargetMode="External" /><Relationship Type="http://schemas.openxmlformats.org/officeDocument/2006/relationships/hyperlink" Id="rId136" Target="https://doi.org/10.1016/j.jml.2007.04.006" TargetMode="External" /><Relationship Type="http://schemas.openxmlformats.org/officeDocument/2006/relationships/hyperlink" Id="rId79" Target="https://doi.org/10.1016/j.neuropsychologia.2012.09.028" TargetMode="External" /><Relationship Type="http://schemas.openxmlformats.org/officeDocument/2006/relationships/hyperlink" Id="rId120" Target="https://doi.org/10.1016/j.tics.2016.01.007" TargetMode="External" /><Relationship Type="http://schemas.openxmlformats.org/officeDocument/2006/relationships/hyperlink" Id="rId103" Target="https://doi.org/10.1016/j.visres.2011.09.007" TargetMode="External" /><Relationship Type="http://schemas.openxmlformats.org/officeDocument/2006/relationships/hyperlink" Id="rId91" Target="https://doi.org/10.1017/CBO9781316272503" TargetMode="External" /><Relationship Type="http://schemas.openxmlformats.org/officeDocument/2006/relationships/hyperlink" Id="rId142" Target="https://doi.org/10.1017/S0140525X20001685" TargetMode="External" /><Relationship Type="http://schemas.openxmlformats.org/officeDocument/2006/relationships/hyperlink" Id="rId85" Target="https://doi.org/10.1027/1618-3169/a000111" TargetMode="External" /><Relationship Type="http://schemas.openxmlformats.org/officeDocument/2006/relationships/hyperlink" Id="rId122" Target="https://doi.org/10.1037/0882-7974.16.2.323" TargetMode="External" /><Relationship Type="http://schemas.openxmlformats.org/officeDocument/2006/relationships/hyperlink" Id="rId124" Target="https://doi.org/10.1037/0882-7974.21.2.353" TargetMode="External" /><Relationship Type="http://schemas.openxmlformats.org/officeDocument/2006/relationships/hyperlink" Id="rId75" Target="https://doi.org/10.1037/xhp0000638" TargetMode="External" /><Relationship Type="http://schemas.openxmlformats.org/officeDocument/2006/relationships/hyperlink" Id="rId77" Target="https://doi.org/10.1038/s41539-023-00168-9" TargetMode="External" /><Relationship Type="http://schemas.openxmlformats.org/officeDocument/2006/relationships/hyperlink" Id="rId140" Target="https://doi.org/10.1038/s41598-017-06237-5" TargetMode="External" /><Relationship Type="http://schemas.openxmlformats.org/officeDocument/2006/relationships/hyperlink" Id="rId105" Target="https://doi.org/10.1146/annurev.psych.57.102904.190143" TargetMode="External" /><Relationship Type="http://schemas.openxmlformats.org/officeDocument/2006/relationships/hyperlink" Id="rId118" Target="https://doi.org/10.1162/neco.2008.12-06-420" TargetMode="External" /><Relationship Type="http://schemas.openxmlformats.org/officeDocument/2006/relationships/hyperlink" Id="rId110" Target="https://doi.org/10.1167/jov.23.3.18" TargetMode="External" /><Relationship Type="http://schemas.openxmlformats.org/officeDocument/2006/relationships/hyperlink" Id="rId81" Target="https://doi.org/10.1177/0956797613504966" TargetMode="External" /><Relationship Type="http://schemas.openxmlformats.org/officeDocument/2006/relationships/hyperlink" Id="rId132" Target="https://doi.org/10.1177/1745691617708630" TargetMode="External" /><Relationship Type="http://schemas.openxmlformats.org/officeDocument/2006/relationships/hyperlink" Id="rId112" Target="https://doi.org/10.1177/17470218231176950" TargetMode="External" /><Relationship Type="http://schemas.openxmlformats.org/officeDocument/2006/relationships/hyperlink" Id="rId114" Target="https://doi.org/10.1525/collabra.24091" TargetMode="External" /><Relationship Type="http://schemas.openxmlformats.org/officeDocument/2006/relationships/hyperlink" Id="rId130" Target="https://doi.org/10.2139/ssrn.2160588" TargetMode="External" /><Relationship Type="http://schemas.openxmlformats.org/officeDocument/2006/relationships/hyperlink" Id="rId89" Target="https://doi.org/10.31234/osf.io/2xu7f" TargetMode="External" /><Relationship Type="http://schemas.openxmlformats.org/officeDocument/2006/relationships/hyperlink" Id="rId71" Target="https://doi.org/10.32614/CRAN.package.papaja" TargetMode="External" /><Relationship Type="http://schemas.openxmlformats.org/officeDocument/2006/relationships/hyperlink" Id="rId144" Target="https://doi.org/10.3389/fnins.2014.00069" TargetMode="External" /><Relationship Type="http://schemas.openxmlformats.org/officeDocument/2006/relationships/hyperlink" Id="rId87" Target="https://doi.org/10.3758/16.6.1026" TargetMode="External" /><Relationship Type="http://schemas.openxmlformats.org/officeDocument/2006/relationships/hyperlink" Id="rId138" Target="https://doi.org/10.3758/BF03194023" TargetMode="External" /><Relationship Type="http://schemas.openxmlformats.org/officeDocument/2006/relationships/hyperlink" Id="rId116" Target="https://doi.org/10.3758/BF03196283" TargetMode="External" /><Relationship Type="http://schemas.openxmlformats.org/officeDocument/2006/relationships/hyperlink" Id="rId83" Target="https://doi.org/10.3758/BRM.41.4.1095" TargetMode="External" /><Relationship Type="http://schemas.openxmlformats.org/officeDocument/2006/relationships/hyperlink" Id="rId134" Target="https://doi.org/10.3758/s13414-013-0451-z" TargetMode="External" /><Relationship Type="http://schemas.openxmlformats.org/officeDocument/2006/relationships/hyperlink" Id="rId99" Target="https://doi.org/10.3758/s13423-016-1221-4" TargetMode="External" /><Relationship Type="http://schemas.openxmlformats.org/officeDocument/2006/relationships/hyperlink" Id="rId95" Target="https://doi.org/10.3758/s13428-018-1067-y" TargetMode="External" /><Relationship Type="http://schemas.openxmlformats.org/officeDocument/2006/relationships/hyperlink" Id="rId128" Target="https://doi.org/10.5334/joc.310" TargetMode="External" /><Relationship Type="http://schemas.openxmlformats.org/officeDocument/2006/relationships/hyperlink" Id="rId93" Target="https://experimentology.io/" TargetMode="External" /><Relationship Type="http://schemas.openxmlformats.org/officeDocument/2006/relationships/hyperlink" Id="rId31" Target="https://github.com/rich-ramsey/knot_dmc" TargetMode="External" /><Relationship Type="http://schemas.openxmlformats.org/officeDocument/2006/relationships/hyperlink" Id="rId108" Target="https://www.frontiersin.org/articles/10.3389/fpsyg.2022.1039172" TargetMode="External" /><Relationship Type="http://schemas.openxmlformats.org/officeDocument/2006/relationships/hyperlink" Id="rId20" Target="mailto:richard.ramsey@hest.ethz.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accumulation modelling offers new insights into the cognitive mechanisms that underlie linguistic and action-based training</dc:title>
  <dc:creator/>
  <cp:keywords/>
  <dcterms:created xsi:type="dcterms:W3CDTF">2025-11-17T12:28:02Z</dcterms:created>
  <dcterms:modified xsi:type="dcterms:W3CDTF">2025-11-17T12:28:02Z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Samantha Parker. School of Psychological Sciences, Macquarie University. Emily S. Cross. Social Brain Sciences Lab, Department of Humanities, Social and Political Sciences (D-GESS), ETH Zürich. Richard Ramsey. Neural Control of Movement Lab, Department of Health Sciences and Technology (D-HEST) and Social Brain Sciences Lab, Department of Humanities, Social and Political Sciences (D-GESS), ETH Zürich. </vt:lpwstr>
  </property>
  <property fmtid="{D5CDD505-2E9C-101B-9397-08002B2CF9AE}" pid="4" name="bibliography">
    <vt:lpwstr/>
  </property>
  <property fmtid="{D5CDD505-2E9C-101B-9397-08002B2CF9AE}" pid="5" name="classoption">
    <vt:lpwstr>man, donotrepeattitle</vt:lpwstr>
  </property>
  <property fmtid="{D5CDD505-2E9C-101B-9397-08002B2CF9AE}" pid="6" name="csl">
    <vt:lpwstr>/Users/rramsey/Library/Caches/org.R-project.R/R/renv/cache/v5/macos/R-4.5/x86_64-apple-darwin20/papaja/0.1.4/5f27d2ed03818f33e2f1221d506b33ae/papaja/rmd/apa6.csl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True</vt:lpwstr>
  </property>
  <property fmtid="{D5CDD505-2E9C-101B-9397-08002B2CF9AE}" pid="11" name="footnotelist">
    <vt:lpwstr>False</vt:lpwstr>
  </property>
  <property fmtid="{D5CDD505-2E9C-101B-9397-08002B2CF9AE}" pid="12" name="header-includes">
    <vt:lpwstr/>
  </property>
  <property fmtid="{D5CDD505-2E9C-101B-9397-08002B2CF9AE}" pid="13" name="linenumbers">
    <vt:lpwstr>True</vt:lpwstr>
  </property>
  <property fmtid="{D5CDD505-2E9C-101B-9397-08002B2CF9AE}" pid="14" name="mask">
    <vt:lpwstr>False</vt:lpwstr>
  </property>
  <property fmtid="{D5CDD505-2E9C-101B-9397-08002B2CF9AE}" pid="15" name="note">
    <vt:lpwstr/>
  </property>
  <property fmtid="{D5CDD505-2E9C-101B-9397-08002B2CF9AE}" pid="16" name="output">
    <vt:lpwstr>papaja::apa6_word</vt:lpwstr>
  </property>
  <property fmtid="{D5CDD505-2E9C-101B-9397-08002B2CF9AE}" pid="17" name="shorttitle">
    <vt:lpwstr>Decision models and experience-dependent plasticity</vt:lpwstr>
  </property>
  <property fmtid="{D5CDD505-2E9C-101B-9397-08002B2CF9AE}" pid="18" name="tablelist">
    <vt:lpwstr>False</vt:lpwstr>
  </property>
  <property fmtid="{D5CDD505-2E9C-101B-9397-08002B2CF9AE}" pid="19" name="wordcount">
    <vt:lpwstr>5588</vt:lpwstr>
  </property>
</Properties>
</file>