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6.jpg" ContentType="image/jpeg"/>
  <Override PartName="/word/media/rId43.png" ContentType="image/png"/>
  <Override PartName="/word/media/rId38.png" ContentType="image/png"/>
  <Override PartName="/word/media/rId34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 tutorial on setting up a reproducible workflow in R and R Studio with Quarto</w:t>
      </w:r>
    </w:p>
    <w:p>
      <w:pPr>
        <w:pStyle w:val="Author"/>
      </w:pPr>
      <w:r>
        <w:t xml:space="preserve">Richard Ramsey</w:t>
      </w:r>
    </w:p>
    <w:p>
      <w:pPr>
        <w:pStyle w:val="Author"/>
      </w:pPr>
      <w:r>
        <w:t xml:space="preserve">Second Author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This is where the abstract would go.</w:t>
      </w:r>
    </w:p>
    <w:p>
      <w:r>
        <w:br w:type="page"/>
      </w:r>
    </w:p>
    <w:bookmarkStart w:id="20" w:name="introduction"/>
    <w:p>
      <w:pPr>
        <w:pStyle w:val="Heading1"/>
      </w:pPr>
      <w:r>
        <w:t xml:space="preserve">Introduction</w:t>
      </w:r>
    </w:p>
    <w:bookmarkEnd w:id="20"/>
    <w:bookmarkStart w:id="25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t xml:space="preserve">We report how we determined our sample size, all data exclusions (if any), all manipulations, and all measures in the study</w:t>
      </w:r>
      <w:r>
        <w:t xml:space="preserve"> </w:t>
      </w:r>
      <w:r>
        <w:t xml:space="preserve">(Simmons et al., 2012)</w:t>
      </w:r>
      <w:r>
        <w:t xml:space="preserve">.</w:t>
      </w:r>
    </w:p>
    <w:bookmarkStart w:id="21" w:name="participants"/>
    <w:p>
      <w:pPr>
        <w:pStyle w:val="Heading2"/>
      </w:pPr>
      <w:r>
        <w:t xml:space="preserve">Participants</w:t>
      </w:r>
    </w:p>
    <w:bookmarkEnd w:id="21"/>
    <w:bookmarkStart w:id="22" w:name="material"/>
    <w:p>
      <w:pPr>
        <w:pStyle w:val="Heading2"/>
      </w:pPr>
      <w:r>
        <w:t xml:space="preserve">Material</w:t>
      </w:r>
    </w:p>
    <w:bookmarkEnd w:id="22"/>
    <w:bookmarkStart w:id="23" w:name="procedure"/>
    <w:p>
      <w:pPr>
        <w:pStyle w:val="Heading2"/>
      </w:pPr>
      <w:r>
        <w:t xml:space="preserve">Procedure</w:t>
      </w:r>
    </w:p>
    <w:bookmarkEnd w:id="23"/>
    <w:bookmarkStart w:id="24" w:name="data-analysis"/>
    <w:p>
      <w:pPr>
        <w:pStyle w:val="Heading2"/>
      </w:pPr>
      <w:r>
        <w:t xml:space="preserve">Data analysis</w:t>
      </w:r>
    </w:p>
    <w:p>
      <w:pPr>
        <w:pStyle w:val="FirstParagraph"/>
      </w:pPr>
      <w:r>
        <w:t xml:space="preserve">We used R version</w:t>
      </w:r>
      <w:r>
        <w:t xml:space="preserve"> </w:t>
      </w:r>
      <w:r>
        <w:t xml:space="preserve">(R Core Team, 2025)</w:t>
      </w:r>
      <w:r>
        <w:t xml:space="preserve"> </w:t>
      </w:r>
      <w:r>
        <w:t xml:space="preserve">for all our analyses.</w:t>
      </w:r>
    </w:p>
    <w:bookmarkEnd w:id="24"/>
    <w:bookmarkEnd w:id="25"/>
    <w:bookmarkStart w:id="50" w:name="results"/>
    <w:p>
      <w:pPr>
        <w:pStyle w:val="Heading1"/>
      </w:pPr>
      <w:r>
        <w:t xml:space="preserve">Results</w:t>
      </w:r>
    </w:p>
    <w:bookmarkStart w:id="42" w:name="descriptive-statistics"/>
    <w:p>
      <w:pPr>
        <w:pStyle w:val="Heading2"/>
      </w:pPr>
      <w:r>
        <w:t xml:space="preserve">Descriptive statistics</w:t>
      </w:r>
    </w:p>
    <w:p>
      <w:pPr>
        <w:pStyle w:val="FirstParagraph"/>
      </w:pPr>
      <w:r>
        <w:t xml:space="preserve">Raw data plots.</w:t>
      </w:r>
    </w:p>
    <w:p>
      <w:pPr>
        <w:pStyle w:val="BodyText"/>
      </w:pPr>
      <w:r>
        <w:t xml:space="preserve">Accuracy by condition violin plot (</w:t>
      </w:r>
      <w:hyperlink w:anchor="fig-accuracy-plot">
        <w:r>
          <w:rPr>
            <w:rStyle w:val="Hyperlink"/>
          </w:rPr>
          <w:t xml:space="preserve">Figure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accuracy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../exp1/figures/acc_violin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Accuracy is quite high for both types of stimuli.</w:t>
            </w:r>
          </w:p>
          <w:bookmarkEnd w:id="29"/>
        </w:tc>
      </w:tr>
    </w:tbl>
    <w:p>
      <w:pPr>
        <w:pStyle w:val="BodyText"/>
      </w:pPr>
      <w:r>
        <w:t xml:space="preserve">Reaction time by condition violin plot (</w:t>
      </w:r>
      <w:hyperlink w:anchor="fig-rt-plot">
        <w:r>
          <w:rPr>
            <w:rStyle w:val="Hyperlink"/>
          </w:rPr>
          <w:t xml:space="preserve">Figure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rt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../exp1/figures/rt_violin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RT as a function of stimuli and conditions.</w:t>
            </w:r>
          </w:p>
          <w:bookmarkEnd w:id="33"/>
        </w:tc>
      </w:tr>
    </w:tbl>
    <w:p>
      <w:pPr>
        <w:pStyle w:val="BodyText"/>
      </w:pPr>
      <w:r>
        <w:t xml:space="preserve">Reaction time by difference scores violin plot (</w:t>
      </w:r>
      <w:hyperlink w:anchor="fig-rt-diff-plot">
        <w:r>
          <w:rPr>
            <w:rStyle w:val="Hyperlink"/>
          </w:rPr>
          <w:t xml:space="preserve">Figure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rt-diff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../exp1/figures/diff_violin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RT difference scores (incomp - compat) by stimulus type.</w:t>
            </w:r>
          </w:p>
          <w:bookmarkEnd w:id="37"/>
        </w:tc>
      </w:tr>
    </w:tbl>
    <w:p>
      <w:pPr>
        <w:pStyle w:val="BodyText"/>
      </w:pPr>
      <w:r>
        <w:t xml:space="preserve">Reaction time by difference scores density plot with quantiles (</w:t>
      </w:r>
      <w:hyperlink w:anchor="fig-rt-dens-plot">
        <w:r>
          <w:rPr>
            <w:rStyle w:val="Hyperlink"/>
          </w:rPr>
          <w:t xml:space="preserve">Figure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t-dens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./exp1/figures/diff_dens_q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RT difference scores (incomp - compat) as a density plot.</w:t>
            </w:r>
          </w:p>
          <w:bookmarkEnd w:id="41"/>
        </w:tc>
      </w:tr>
    </w:tbl>
    <w:bookmarkEnd w:id="42"/>
    <w:bookmarkStart w:id="49" w:name="inferential-statistics"/>
    <w:p>
      <w:pPr>
        <w:pStyle w:val="Heading2"/>
      </w:pPr>
      <w:r>
        <w:t xml:space="preserve">Inferential statistics</w:t>
      </w:r>
    </w:p>
    <w:p>
      <w:pPr>
        <w:pStyle w:val="FirstParagraph"/>
      </w:pPr>
      <w:r>
        <w:t xml:space="preserve">Now we plot and tabulate parameters from the posterior distribution.</w:t>
      </w:r>
    </w:p>
    <w:p>
      <w:pPr>
        <w:pStyle w:val="BodyText"/>
      </w:pPr>
      <w:r>
        <w:t xml:space="preserve">Fixed effects from model b2 (</w:t>
      </w:r>
      <w:hyperlink w:anchor="fig-fixef-plot">
        <w:r>
          <w:rPr>
            <w:rStyle w:val="Hyperlink"/>
          </w:rPr>
          <w:t xml:space="preserve">Figure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fixef-plot"/>
          <w:p>
            <w:pPr>
              <w:pStyle w:val="Compact"/>
              <w:jc w:val="center"/>
            </w:pPr>
            <w:r>
              <w:drawing>
                <wp:inline>
                  <wp:extent cx="5334000" cy="4000499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../exp1/figures/b2_fixef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Fixed effects from model b2.</w:t>
            </w:r>
          </w:p>
          <w:bookmarkEnd w:id="46"/>
        </w:tc>
      </w:tr>
    </w:tbl>
    <w:p>
      <w:pPr>
        <w:pStyle w:val="BodyText"/>
      </w:pPr>
      <w:r>
        <w:t xml:space="preserve">Here are a couple of example tables displaying fixed effects (</w:t>
      </w:r>
      <w:hyperlink w:anchor="tbl-example1">
        <w:r>
          <w:rPr>
            <w:rStyle w:val="Hyperlink"/>
          </w:rPr>
          <w:t xml:space="preserve">Table 1</w:t>
        </w:r>
      </w:hyperlink>
      <w:r>
        <w:t xml:space="preserve">,</w:t>
      </w:r>
      <w:r>
        <w:t xml:space="preserve"> </w:t>
      </w:r>
      <w:hyperlink w:anchor="tbl-example2">
        <w:r>
          <w:rPr>
            <w:rStyle w:val="Hyperlink"/>
          </w:rPr>
          <w:t xml:space="preserve">Table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tbl-example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Table created with</w:t>
            </w:r>
            <w:r>
              <w:t xml:space="preserve"> </w:t>
            </w:r>
            <w:r>
              <w:rPr>
                <w:rStyle w:val="VerbatimChar"/>
              </w:rPr>
              <w:t xml:space="preserve">tinytable::tt()</w:t>
            </w:r>
          </w:p>
          <w:tbl>
            <w:tblPr>
              <w:tblStyle w:val="Table"/>
              <w:tblW w:type="pct" w:w="2639"/>
              <w:tblLayout w:type="fixed"/>
              <w:tblLook w:firstRow="1" w:lastRow="1" w:firstColumn="0" w:lastColumn="0" w:noHBand="0" w:noVBand="0" w:val="0020"/>
            </w:tblPr>
            <w:tblGrid>
              <w:gridCol w:w="1320"/>
              <w:gridCol w:w="880"/>
              <w:gridCol w:w="990"/>
              <w:gridCol w:w="99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term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value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.lower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.upper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intercept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613.9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593.62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635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stimulus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0.77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12</w:t>
                  </w:r>
                </w:p>
              </w:tc>
            </w:tr>
            <w:tr>
              <w:tc>
                <w:tcPr>
                  <w:gridSpan w:val="4"/>
                </w:tcPr>
                <w:p>
                  <w:pPr>
                    <w:pStyle w:val="Compact"/>
                    <w:jc w:val="center"/>
                  </w:pPr>
                  <w:r>
                    <w:t xml:space="preserve">Note. This is a footnote.</w:t>
                  </w:r>
                </w:p>
              </w:tc>
            </w:tr>
          </w:tbl>
          <w:bookmarkEnd w:id="47"/>
          <w:p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tbl-example2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Table created with</w:t>
            </w:r>
            <w:r>
              <w:t xml:space="preserve"> </w:t>
            </w:r>
            <w:r>
              <w:rPr>
                <w:rStyle w:val="VerbatimChar"/>
              </w:rPr>
              <w:t xml:space="preserve">knitr::kable()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1980"/>
              <w:gridCol w:w="1980"/>
              <w:gridCol w:w="1980"/>
              <w:gridCol w:w="198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term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value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.lower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.upper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intercept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613.94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593.62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634.79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stimulus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6.38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0.77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12.07</w:t>
                  </w:r>
                </w:p>
              </w:tc>
            </w:tr>
          </w:tbl>
          <w:bookmarkEnd w:id="48"/>
          <w:p/>
        </w:tc>
      </w:tr>
    </w:tbl>
    <w:bookmarkEnd w:id="49"/>
    <w:bookmarkEnd w:id="50"/>
    <w:bookmarkStart w:id="51" w:name="discussion"/>
    <w:p>
      <w:pPr>
        <w:pStyle w:val="Heading1"/>
      </w:pPr>
      <w:r>
        <w:t xml:space="preserve">Discussion</w:t>
      </w:r>
    </w:p>
    <w:bookmarkEnd w:id="51"/>
    <w:bookmarkStart w:id="56" w:name="disclosures"/>
    <w:p>
      <w:pPr>
        <w:pStyle w:val="Heading1"/>
      </w:pPr>
      <w:r>
        <w:t xml:space="preserve">Disclosures</w:t>
      </w:r>
    </w:p>
    <w:bookmarkStart w:id="52" w:name="data-and-code-availability"/>
    <w:p>
      <w:pPr>
        <w:pStyle w:val="Heading2"/>
      </w:pPr>
      <w:r>
        <w:t xml:space="preserve">Data and code availability</w:t>
      </w:r>
    </w:p>
    <w:p>
      <w:pPr>
        <w:pStyle w:val="FirstParagraph"/>
      </w:pPr>
      <w:r>
        <w:t xml:space="preserve">blah.</w:t>
      </w:r>
    </w:p>
    <w:bookmarkEnd w:id="52"/>
    <w:bookmarkStart w:id="54" w:name="author-contributions"/>
    <w:p>
      <w:pPr>
        <w:pStyle w:val="Heading2"/>
      </w:pPr>
      <w:r>
        <w:t xml:space="preserve">Author contributions</w:t>
      </w:r>
    </w:p>
    <w:p>
      <w:pPr>
        <w:pStyle w:val="FirstParagraph"/>
      </w:pPr>
      <w:r>
        <w:t xml:space="preserve">We follow the Credit system.</w:t>
      </w:r>
      <w:r>
        <w:t xml:space="preserve"> </w:t>
      </w:r>
      <w:hyperlink r:id="rId53">
        <w:r>
          <w:rPr>
            <w:rStyle w:val="Hyperlink"/>
          </w:rPr>
          <w:t xml:space="preserve">https://credit.niso.org/</w:t>
        </w:r>
      </w:hyperlink>
    </w:p>
    <w:p>
      <w:pPr>
        <w:pStyle w:val="BodyText"/>
      </w:pPr>
      <w:r>
        <w:t xml:space="preserve">Blah.</w:t>
      </w:r>
    </w:p>
    <w:bookmarkEnd w:id="54"/>
    <w:bookmarkStart w:id="55" w:name="competing-interests"/>
    <w:p>
      <w:pPr>
        <w:pStyle w:val="Heading2"/>
      </w:pPr>
      <w:r>
        <w:t xml:space="preserve">Competing interests</w:t>
      </w:r>
    </w:p>
    <w:p>
      <w:pPr>
        <w:pStyle w:val="FirstParagraph"/>
      </w:pPr>
      <w:r>
        <w:t xml:space="preserve">Blah.</w:t>
      </w:r>
    </w:p>
    <w:p>
      <w:r>
        <w:br w:type="page"/>
      </w:r>
    </w:p>
    <w:bookmarkEnd w:id="55"/>
    <w:bookmarkEnd w:id="56"/>
    <w:bookmarkStart w:id="62" w:name="references"/>
    <w:p>
      <w:pPr>
        <w:pStyle w:val="Heading1"/>
      </w:pPr>
      <w:r>
        <w:t xml:space="preserve">References</w:t>
      </w:r>
    </w:p>
    <w:bookmarkStart w:id="61" w:name="refs"/>
    <w:bookmarkStart w:id="58" w:name="ref-R-base"/>
    <w:p>
      <w:pPr>
        <w:pStyle w:val="Bibliography"/>
      </w:pPr>
      <w:r>
        <w:t xml:space="preserve">R Core Team. (2025).</w:t>
      </w:r>
      <w:r>
        <w:t xml:space="preserve"> </w:t>
      </w:r>
      <w:r>
        <w:rPr>
          <w:i/>
          <w:iCs/>
        </w:rPr>
        <w:t xml:space="preserve">R: A language and environment for statistical computing</w:t>
      </w:r>
      <w:r>
        <w:t xml:space="preserve">. R Foundation for Statistical Computing.</w:t>
      </w:r>
      <w:r>
        <w:t xml:space="preserve"> </w:t>
      </w:r>
      <w:hyperlink r:id="rId57">
        <w:r>
          <w:rPr>
            <w:rStyle w:val="Hyperlink"/>
          </w:rPr>
          <w:t xml:space="preserve">https://www.R-project.org/</w:t>
        </w:r>
      </w:hyperlink>
    </w:p>
    <w:bookmarkEnd w:id="58"/>
    <w:bookmarkStart w:id="60" w:name="ref-simmons2012"/>
    <w:p>
      <w:pPr>
        <w:pStyle w:val="Bibliography"/>
      </w:pPr>
      <w:r>
        <w:t xml:space="preserve">Simmons, J. P., Nelson, L. D., &amp; Simonsohn, U. (2012).</w:t>
      </w:r>
      <w:r>
        <w:t xml:space="preserve"> </w:t>
      </w:r>
      <w:r>
        <w:rPr>
          <w:i/>
          <w:iCs/>
        </w:rPr>
        <w:t xml:space="preserve">A 21</w:t>
      </w:r>
      <w:r>
        <w:rPr>
          <w:i/>
          <w:iCs/>
        </w:rPr>
        <w:t xml:space="preserve"> </w:t>
      </w:r>
      <w:r>
        <w:rPr>
          <w:i/>
          <w:iCs/>
        </w:rPr>
        <w:t xml:space="preserve">Word Solution</w:t>
      </w:r>
      <w:r>
        <w:t xml:space="preserve"> </w:t>
      </w:r>
      <w:r>
        <w:t xml:space="preserve">(SSRN Scholarly Paper 2160588).</w:t>
      </w:r>
      <w:r>
        <w:t xml:space="preserve"> </w:t>
      </w:r>
      <w:r>
        <w:t xml:space="preserve">Social Science Research Network</w:t>
      </w:r>
      <w:r>
        <w:t xml:space="preserve">.</w:t>
      </w:r>
      <w:r>
        <w:t xml:space="preserve"> </w:t>
      </w:r>
      <w:hyperlink r:id="rId59">
        <w:r>
          <w:rPr>
            <w:rStyle w:val="Hyperlink"/>
          </w:rPr>
          <w:t xml:space="preserve">https://doi.org/10.2139/ssrn.2160588</w:t>
        </w:r>
      </w:hyperlink>
    </w:p>
    <w:bookmarkEnd w:id="60"/>
    <w:bookmarkEnd w:id="61"/>
    <w:bookmarkEnd w:id="62"/>
    <w:bookmarkStart w:id="71" w:name="appendix-a-supplementary-materials"/>
    <w:p>
      <w:pPr>
        <w:pStyle w:val="Heading1"/>
      </w:pPr>
      <w:r>
        <w:t xml:space="preserve">Appendix A: Supplementary Materials</w:t>
      </w:r>
    </w:p>
    <w:bookmarkStart w:id="63" w:name="model-formulas"/>
    <w:p>
      <w:pPr>
        <w:pStyle w:val="Heading2"/>
      </w:pPr>
      <w:r>
        <w:t xml:space="preserve">Model formulas</w:t>
      </w:r>
    </w:p>
    <w:p>
      <w:pPr>
        <w:pStyle w:val="FirstParagraph"/>
      </w:pPr>
      <w:r>
        <w:t xml:space="preserve">The regression formula for the full model (model b2):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t</m:t>
          </m:r>
          <m:r>
            <m:rPr>
              <m:sty m:val="p"/>
            </m:rPr>
            <m:t>∼</m:t>
          </m:r>
          <m:r>
            <m:t>1</m:t>
          </m:r>
          <m:r>
            <m:rPr>
              <m:sty m:val="p"/>
            </m:rPr>
            <m:t>+</m:t>
          </m:r>
          <m:r>
            <m:t>s</m:t>
          </m:r>
          <m:r>
            <m:t>t</m:t>
          </m:r>
          <m:r>
            <m:t>i</m:t>
          </m:r>
          <m:r>
            <m:t>m</m:t>
          </m:r>
          <m:r>
            <m:t>u</m:t>
          </m:r>
          <m:r>
            <m:t>l</m:t>
          </m:r>
          <m:r>
            <m:t>u</m:t>
          </m:r>
          <m:r>
            <m:t>s</m:t>
          </m:r>
          <m:r>
            <m:rPr>
              <m:sty m:val="p"/>
            </m:rPr>
            <m:t>*</m:t>
          </m:r>
          <m:r>
            <m:t>c</m:t>
          </m:r>
          <m:r>
            <m:t>o</m:t>
          </m:r>
          <m:r>
            <m:t>m</m:t>
          </m:r>
          <m:r>
            <m:t>p</m:t>
          </m:r>
          <m:r>
            <m:t>a</m:t>
          </m:r>
          <m:r>
            <m:t>t</m:t>
          </m:r>
          <m:r>
            <m:t>i</m:t>
          </m:r>
          <m:r>
            <m:t>b</m:t>
          </m:r>
          <m:r>
            <m:t>i</m:t>
          </m:r>
          <m:r>
            <m:t>l</m:t>
          </m:r>
          <m:r>
            <m:t>i</m:t>
          </m:r>
          <m:r>
            <m:t>t</m:t>
          </m:r>
          <m:r>
            <m:t>y</m:t>
          </m:r>
          <m:r>
            <m:rPr>
              <m:sty m:val="p"/>
            </m:rPr>
            <m:t>+</m:t>
          </m:r>
          <m:r>
            <m:t> </m:t>
          </m:r>
          <m:d>
            <m:dPr>
              <m:begChr m:val="("/>
              <m:sepChr m:val=""/>
              <m:endChr m:val=")"/>
              <m:grow/>
            </m:dPr>
            <m:e>
              <m:r>
                <m:t>1</m:t>
              </m:r>
              <m:r>
                <m:rPr>
                  <m:sty m:val="p"/>
                </m:rPr>
                <m:t>+</m:t>
              </m:r>
              <m:r>
                <m:t>s</m:t>
              </m:r>
              <m:r>
                <m:t>t</m:t>
              </m:r>
              <m:r>
                <m:t>i</m:t>
              </m:r>
              <m:r>
                <m:t>m</m:t>
              </m:r>
              <m:r>
                <m:t>u</m:t>
              </m:r>
              <m:r>
                <m:t>l</m:t>
              </m:r>
              <m:r>
                <m:t>u</m:t>
              </m:r>
              <m:r>
                <m:t>s</m:t>
              </m:r>
              <m:r>
                <m:rPr>
                  <m:sty m:val="p"/>
                </m:rPr>
                <m:t>*</m:t>
              </m:r>
              <m:r>
                <m:t>c</m:t>
              </m:r>
              <m:r>
                <m:t>o</m:t>
              </m:r>
              <m:r>
                <m:t>m</m:t>
              </m:r>
              <m:r>
                <m:t>p</m:t>
              </m:r>
              <m:r>
                <m:t>a</m:t>
              </m:r>
              <m:r>
                <m:t>t</m:t>
              </m:r>
              <m:r>
                <m:t>i</m:t>
              </m:r>
              <m:r>
                <m:t>b</m:t>
              </m:r>
              <m:r>
                <m:t>i</m:t>
              </m:r>
              <m:r>
                <m:t>l</m:t>
              </m:r>
              <m:r>
                <m:t>i</m:t>
              </m:r>
              <m:r>
                <m:t>t</m:t>
              </m:r>
              <m:r>
                <m:t>y</m:t>
              </m:r>
              <m:r>
                <m:rPr>
                  <m:sty m:val="p"/>
                </m:rPr>
                <m:t>|</m:t>
              </m:r>
              <m:r>
                <m:t>p</m:t>
              </m:r>
              <m:r>
                <m:t>i</m:t>
              </m:r>
              <m:r>
                <m:t>d</m:t>
              </m:r>
            </m:e>
          </m:d>
        </m:oMath>
      </m:oMathPara>
    </w:p>
    <w:p>
      <w:pPr>
        <w:pStyle w:val="FirstParagraph"/>
      </w:pPr>
      <w:r>
        <w:rPr>
          <w:i/>
          <w:iCs/>
        </w:rPr>
        <w:t xml:space="preserve">Note:</w:t>
      </w:r>
      <w:r>
        <w:t xml:space="preserve"> </w:t>
      </w:r>
      <w:r>
        <w:t xml:space="preserve">rt = reaction time (ms); stimulus = blah; compatibility = blah; pid = subject/participant identifier.</w:t>
      </w:r>
    </w:p>
    <w:bookmarkEnd w:id="63"/>
    <w:bookmarkStart w:id="65" w:name="a-supplementary-table"/>
    <w:p>
      <w:pPr>
        <w:pStyle w:val="Heading2"/>
      </w:pPr>
      <w:r>
        <w:t xml:space="preserve">A supplementary table</w:t>
      </w:r>
    </w:p>
    <w:p>
      <w:pPr>
        <w:pStyle w:val="FirstParagraph"/>
      </w:pPr>
      <w:r>
        <w:t xml:space="preserve">Here, I just reproduce the table from the main manuscript to save time making anything else.</w:t>
      </w:r>
      <w:r>
        <w:t xml:space="preserve"> </w:t>
      </w:r>
      <w:r>
        <w:t xml:space="preserve">But of course in a real paper, you wouldn’t do this, you’d just show whatever you needed.</w:t>
      </w:r>
      <w:r>
        <w:t xml:space="preserve"> </w:t>
      </w:r>
      <w:r>
        <w:t xml:space="preserve">It is labelled differently to reflect that it is a supplementary table (</w:t>
      </w:r>
      <w:hyperlink w:anchor="tbl-s1">
        <w:r>
          <w:rPr>
            <w:rStyle w:val="Hyperlink"/>
          </w:rPr>
          <w:t xml:space="preserve">Table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tbl-s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3: Supplementary table created with</w:t>
            </w:r>
            <w:r>
              <w:t xml:space="preserve"> </w:t>
            </w:r>
            <w:r>
              <w:rPr>
                <w:rStyle w:val="VerbatimChar"/>
              </w:rPr>
              <w:t xml:space="preserve">tinytable::tt()</w:t>
            </w:r>
          </w:p>
          <w:tbl>
            <w:tblPr>
              <w:tblStyle w:val="Table"/>
              <w:tblW w:type="pct" w:w="2639"/>
              <w:tblLayout w:type="fixed"/>
              <w:tblLook w:firstRow="1" w:lastRow="1" w:firstColumn="0" w:lastColumn="0" w:noHBand="0" w:noVBand="0" w:val="0020"/>
            </w:tblPr>
            <w:tblGrid>
              <w:gridCol w:w="1320"/>
              <w:gridCol w:w="880"/>
              <w:gridCol w:w="990"/>
              <w:gridCol w:w="99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term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value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.lower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.upper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intercept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613.9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593.62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635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stimulus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6.4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0.77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12</w:t>
                  </w:r>
                </w:p>
              </w:tc>
            </w:tr>
            <w:tr>
              <w:tc>
                <w:tcPr>
                  <w:gridSpan w:val="4"/>
                </w:tcPr>
                <w:p>
                  <w:pPr>
                    <w:pStyle w:val="Compact"/>
                    <w:jc w:val="center"/>
                  </w:pPr>
                  <w:r>
                    <w:t xml:space="preserve">Note. This is a footnote.</w:t>
                  </w:r>
                </w:p>
              </w:tc>
            </w:tr>
          </w:tbl>
          <w:bookmarkEnd w:id="64"/>
          <w:p/>
        </w:tc>
      </w:tr>
    </w:tbl>
    <w:bookmarkEnd w:id="65"/>
    <w:bookmarkStart w:id="70" w:name="a-supplementary-figure"/>
    <w:p>
      <w:pPr>
        <w:pStyle w:val="Heading2"/>
      </w:pPr>
      <w:r>
        <w:t xml:space="preserve">A supplementary figure</w:t>
      </w:r>
    </w:p>
    <w:p>
      <w:pPr>
        <w:pStyle w:val="FirstParagraph"/>
      </w:pPr>
      <w:r>
        <w:t xml:space="preserve">Let’s take a look at the mixing of chains in the model.</w:t>
      </w:r>
      <w:r>
        <w:t xml:space="preserve"> </w:t>
      </w:r>
      <w:r>
        <w:t xml:space="preserve">This is a useful model diagnostic check to see that the model built ok (</w:t>
      </w:r>
      <w:hyperlink w:anchor="fig-s1">
        <w:r>
          <w:rPr>
            <w:rStyle w:val="Hyperlink"/>
          </w:rPr>
          <w:t xml:space="preserve">Figure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9" w:name="fig-s1"/>
          <w:p>
            <w:pPr>
              <w:pStyle w:val="Compact"/>
              <w:jc w:val="center"/>
            </w:pPr>
            <w:r>
              <w:drawing>
                <wp:inline>
                  <wp:extent cx="3810000" cy="2540000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../exp1/figures/b2_chains.jpe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6: Caterpillar plots showing the mixing of chains across parameters in model b2.</w:t>
            </w:r>
          </w:p>
          <w:bookmarkEnd w:id="69"/>
        </w:tc>
      </w:tr>
    </w:tbl>
    <w:bookmarkEnd w:id="70"/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3" Target="media/rId43.png" /><Relationship Type="http://schemas.openxmlformats.org/officeDocument/2006/relationships/image" Id="rId38" Target="media/rId38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hyperlink" Id="rId53" Target="https://credit.niso.org/" TargetMode="External" /><Relationship Type="http://schemas.openxmlformats.org/officeDocument/2006/relationships/hyperlink" Id="rId59" Target="https://doi.org/10.2139/ssrn.2160588" TargetMode="External" /><Relationship Type="http://schemas.openxmlformats.org/officeDocument/2006/relationships/hyperlink" Id="rId57" Target="https://www.R-project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credit.niso.org/" TargetMode="External" /><Relationship Type="http://schemas.openxmlformats.org/officeDocument/2006/relationships/hyperlink" Id="rId59" Target="https://doi.org/10.2139/ssrn.2160588" TargetMode="External" /><Relationship Type="http://schemas.openxmlformats.org/officeDocument/2006/relationships/hyperlink" Id="rId57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tutorial on setting up a reproducible workflow in R and R Studio with Quarto</dc:title>
  <dc:creator>Richard Ramsey; Second Author</dc:creator>
  <cp:keywords>these are the key words</cp:keywords>
  <dcterms:created xsi:type="dcterms:W3CDTF">2025-06-23T09:30:27Z</dcterms:created>
  <dcterms:modified xsi:type="dcterms:W3CDTF">2025-06-23T09:30:27Z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This is where the abstract would go.</vt:lpwstr>
  </property>
  <property fmtid="{D5CDD505-2E9C-101B-9397-08002B2CF9AE}" pid="3" name="affiliations">
    <vt:lpwstr/>
  </property>
  <property fmtid="{D5CDD505-2E9C-101B-9397-08002B2CF9AE}" pid="4" name="authornote">
    <vt:lpwstr>This is an example author note.</vt:lpwstr>
  </property>
  <property fmtid="{D5CDD505-2E9C-101B-9397-08002B2CF9AE}" pid="5" name="authors">
    <vt:lpwstr/>
  </property>
  <property fmtid="{D5CDD505-2E9C-101B-9397-08002B2CF9AE}" pid="6" name="biblio-config">
    <vt:lpwstr>True</vt:lpwstr>
  </property>
  <property fmtid="{D5CDD505-2E9C-101B-9397-08002B2CF9AE}" pid="7" name="bibliography">
    <vt:lpwstr>references.bib</vt:lpwstr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sl">
    <vt:lpwstr>apa.csl</vt:lpwstr>
  </property>
  <property fmtid="{D5CDD505-2E9C-101B-9397-08002B2CF9AE}" pid="11" name="editor_options">
    <vt:lpwstr/>
  </property>
  <property fmtid="{D5CDD505-2E9C-101B-9397-08002B2CF9AE}" pid="12" name="functions">
    <vt:lpwstr/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osf-url">
    <vt:lpwstr>https://osf.io/</vt:lpwstr>
  </property>
  <property fmtid="{D5CDD505-2E9C-101B-9397-08002B2CF9AE}" pid="18" name="preprint-url">
    <vt:lpwstr>https://osf.io/preprints/psyarxiv/</vt:lpwstr>
  </property>
  <property fmtid="{D5CDD505-2E9C-101B-9397-08002B2CF9AE}" pid="19" name="repo-url">
    <vt:lpwstr>https://github.com/your-username/your-repo</vt:lpwstr>
  </property>
  <property fmtid="{D5CDD505-2E9C-101B-9397-08002B2CF9AE}" pid="20" name="running-head">
    <vt:lpwstr>Reproducible workflow with Quarto</vt:lpwstr>
  </property>
  <property fmtid="{D5CDD505-2E9C-101B-9397-08002B2CF9AE}" pid="21" name="site-url">
    <vt:lpwstr>https://your-username.github.io/your-repo</vt:lpwstr>
  </property>
  <property fmtid="{D5CDD505-2E9C-101B-9397-08002B2CF9AE}" pid="22" name="toc-title">
    <vt:lpwstr>Table of contents</vt:lpwstr>
  </property>
  <property fmtid="{D5CDD505-2E9C-101B-9397-08002B2CF9AE}" pid="23" name="wordcount">
    <vt:lpwstr>True</vt:lpwstr>
  </property>
</Properties>
</file>