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(Internal Audit)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(IT Operations &amp; Infrastructure)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(Business Automation 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(Human Resource 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(Administrative Services)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(Security)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(Medical)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(Pension Administration)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(Accounts)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(National Payment Systems)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(Banking)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 Currency)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(Financial Markets)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(Legal Affairs)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(Communications)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(Board Affairs)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(Strategy &amp; Quality Assurance)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(Risk &amp; Compliance Management)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>(Economic Research)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(Statistics)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(Commercial Banking)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>(Non</w:t>
      </w: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>-</w:t>
      </w: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>Bank Financial Institutions)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>(Financial Stability)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(Economic Advisor to governor)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(Petroleum Investment Fund)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>(Procurement and Disposal)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0"/>
          <w:szCs w:val="20"/>
          <w:lang w:val="en-US" w:eastAsia="zh-CN" w:bidi="ar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94A7D"/>
    <w:rsid w:val="72E9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Aptos" w:hAnsi="Aptos" w:eastAsia="Aptos" w:cs="Aptos"/>
      <w:kern w:val="2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2024-10-19T08:32:00Z</dcterms:created>
  <dc:creator>Richtext</dc:creator>
  <cp:lastModifiedBy>Richtext</cp:lastModifiedBy>
  <dcterms:modified xsi:type="dcterms:W3CDTF">2024-10-19T08:32:50Z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3EA60126DE674BC0A0758E2FB911E773_11</vt:lpwstr>
  </property>
</Properties>
</file>