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Custom Website Security &amp; Compliance Framework</w:t>
      </w:r>
    </w:p>
    <w:p>
      <w:pPr>
        <w:pStyle w:val="Subtitle"/>
      </w:pPr>
      <w:r>
        <w:t xml:space="preserve">A practical, auditable 22-control standard for Next.js client websites, applications and APIs.</w:t>
      </w:r>
    </w:p>
    <w:p>
      <w:r>
        <w:t xml:space="preserve">Prepared for Into The Wild Marketing  |  Version 3.1  |  17 October 2026</w:t>
      </w:r>
    </w:p>
    <w:p>
      <w:pPr>
        <w:pStyle w:val="Heading1"/>
      </w:pPr>
      <w:r>
        <w:t xml:space="preserve">Executive summary</w:t>
      </w:r>
    </w:p>
    <w:p>
      <w:r>
        <w:t xml:space="preserve">This framework sets the minimum security engineering expectations for websites and web applications Into The Wild Marketing (ITWM) builds, hosts or maintains: public marketing sites, lead-capture forms, client portals, administration interfaces, AI features and integrations. ITWM's standard stack is Next.js (App Router) on managed hosting such as Vercel, so the controls include Next.js-specific requirements.</w:t>
      </w:r>
    </w:p>
    <w:p>
      <w:r>
        <w:t xml:space="preserve">It is an internal 22-control secure development and assurance standard. It is aligned to OWASP ASVS 5.0.0, informed by the OWASP Top 10:2025 and the OWASP API Security Top 10, and supplemented by ACSC guidance and Australian privacy and sector obligations. It is not an official OWASP standard or a certification. Passing it does not certify a site as secure or legally compliant.</w:t>
      </w:r>
    </w:p>
    <w:p>
      <w:r>
        <w:t xml:space="preserve">Most ITWM clients are professional services firms (lawyers, accountants, financial planners and mortgage brokers). Their enquiry forms routinely collect confidential and sometimes sensitive information, and their email domains are prime targets for invoice fraud. The framework is weighted towards those realities, and its assurance effort scales with risk: brochure sites follow a one-page checklist, while portals and sensitive-data systems receive full ASVS verification, threat modelling and independent testing.</w:t>
      </w:r>
    </w:p>
    <w:p>
      <w:pPr>
        <w:pStyle w:val="Heading2"/>
      </w:pPr>
      <w:r>
        <w:t xml:space="preserve">How the document is organised</w:t>
      </w:r>
    </w:p>
    <w:tbl>
      <w:tblPr>
        <w:tblStyle w:val="LightShading-Accent1"/>
        <w:tblW w:type="dxa" w:w="8640"/>
        <w:tblLook w:firstColumn="1" w:firstRow="1" w:lastColumn="0" w:lastRow="0" w:noHBand="0" w:noVBand="1" w:val="04A0"/>
      </w:tblPr>
      <w:tblGrid>
        <w:gridCol w:w="2400"/>
        <w:gridCol w:w="6240"/>
      </w:tblGrid>
      <w:tr>
        <w:trPr>
          <w:tblHeader/>
        </w:trPr>
        <w:tc>
          <w:tcPr>
            <w:tcW w:type="dxa" w:w="2400"/>
          </w:tcPr>
          <w:p>
            <w:r>
              <w:t xml:space="preserve">Section</w:t>
            </w:r>
          </w:p>
        </w:tc>
        <w:tc>
          <w:tcPr>
            <w:tcW w:type="dxa" w:w="6240"/>
          </w:tcPr>
          <w:p>
            <w:r>
              <w:t xml:space="preserve">Use it for</w:t>
            </w:r>
          </w:p>
        </w:tc>
      </w:tr>
      <w:tr>
        <w:tc>
          <w:tcPr>
            <w:tcW w:type="dxa" w:w="2400"/>
          </w:tcPr>
          <w:p>
            <w:r>
              <w:rPr>
                <w:color w:val="262626"/>
              </w:rPr>
              <w:t xml:space="preserve">1. Governance and tiers</w:t>
            </w:r>
          </w:p>
        </w:tc>
        <w:tc>
          <w:tcPr>
            <w:tcW w:type="dxa" w:w="6240"/>
          </w:tcPr>
          <w:p>
            <w:r>
              <w:rPr>
                <w:color w:val="262626"/>
              </w:rPr>
              <w:t xml:space="preserve">Deciding a project's tier and what that tier requires</w:t>
            </w:r>
          </w:p>
        </w:tc>
      </w:tr>
      <w:tr>
        <w:tc>
          <w:tcPr>
            <w:tcW w:type="dxa" w:w="2400"/>
          </w:tcPr>
          <w:p>
            <w:r>
              <w:rPr>
                <w:color w:val="262626"/>
              </w:rPr>
              <w:t xml:space="preserve">2. Lifecycle</w:t>
            </w:r>
          </w:p>
        </w:tc>
        <w:tc>
          <w:tcPr>
            <w:tcW w:type="dxa" w:w="6240"/>
          </w:tcPr>
          <w:p>
            <w:r>
              <w:rPr>
                <w:color w:val="262626"/>
              </w:rPr>
              <w:t xml:space="preserve">What happens at each project stage</w:t>
            </w:r>
          </w:p>
        </w:tc>
      </w:tr>
      <w:tr>
        <w:tc>
          <w:tcPr>
            <w:tcW w:type="dxa" w:w="2400"/>
          </w:tcPr>
          <w:p>
            <w:r>
              <w:rPr>
                <w:color w:val="262626"/>
              </w:rPr>
              <w:t xml:space="preserve">3. Controls 01–22</w:t>
            </w:r>
          </w:p>
        </w:tc>
        <w:tc>
          <w:tcPr>
            <w:tcW w:type="dxa" w:w="6240"/>
          </w:tcPr>
          <w:p>
            <w:r>
              <w:rPr>
                <w:color w:val="262626"/>
              </w:rPr>
              <w:t xml:space="preserve">The technical and operational requirements, each with verification and evidence</w:t>
            </w:r>
          </w:p>
        </w:tc>
      </w:tr>
      <w:tr>
        <w:tc>
          <w:tcPr>
            <w:tcW w:type="dxa" w:w="2400"/>
          </w:tcPr>
          <w:p>
            <w:r>
              <w:rPr>
                <w:color w:val="262626"/>
              </w:rPr>
              <w:t xml:space="preserve">4. Next.js standard</w:t>
            </w:r>
          </w:p>
        </w:tc>
        <w:tc>
          <w:tcPr>
            <w:tcW w:type="dxa" w:w="6240"/>
          </w:tcPr>
          <w:p>
            <w:r>
              <w:rPr>
                <w:color w:val="262626"/>
              </w:rPr>
              <w:t xml:space="preserve">Framework-specific patterns every build follows</w:t>
            </w:r>
          </w:p>
        </w:tc>
      </w:tr>
      <w:tr>
        <w:tc>
          <w:tcPr>
            <w:tcW w:type="dxa" w:w="2400"/>
          </w:tcPr>
          <w:p>
            <w:r>
              <w:rPr>
                <w:color w:val="262626"/>
              </w:rPr>
              <w:t xml:space="preserve">5. Assurance processes</w:t>
            </w:r>
          </w:p>
        </w:tc>
        <w:tc>
          <w:tcPr>
            <w:tcW w:type="dxa" w:w="6240"/>
          </w:tcPr>
          <w:p>
            <w:r>
              <w:rPr>
                <w:color w:val="262626"/>
              </w:rPr>
              <w:t xml:space="preserve">ASVS mapping, threat modelling, data classification, vendors, vulnerabilities, incidents, competency</w:t>
            </w:r>
          </w:p>
        </w:tc>
      </w:tr>
      <w:tr>
        <w:tc>
          <w:tcPr>
            <w:tcW w:type="dxa" w:w="2400"/>
          </w:tcPr>
          <w:p>
            <w:r>
              <w:rPr>
                <w:color w:val="262626"/>
              </w:rPr>
              <w:t xml:space="preserve">6. Australian law</w:t>
            </w:r>
          </w:p>
        </w:tc>
        <w:tc>
          <w:tcPr>
            <w:tcW w:type="dxa" w:w="6240"/>
          </w:tcPr>
          <w:p>
            <w:r>
              <w:rPr>
                <w:color w:val="262626"/>
              </w:rPr>
              <w:t xml:space="preserve">Privacy and sector obligations to check with the client</w:t>
            </w:r>
          </w:p>
        </w:tc>
      </w:tr>
      <w:tr>
        <w:tc>
          <w:tcPr>
            <w:tcW w:type="dxa" w:w="2400"/>
          </w:tcPr>
          <w:p>
            <w:r>
              <w:rPr>
                <w:color w:val="262626"/>
              </w:rPr>
              <w:t xml:space="preserve">7. Checklists and release gate</w:t>
            </w:r>
          </w:p>
        </w:tc>
        <w:tc>
          <w:tcPr>
            <w:tcW w:type="dxa" w:w="6240"/>
          </w:tcPr>
          <w:p>
            <w:r>
              <w:rPr>
                <w:color w:val="262626"/>
              </w:rPr>
              <w:t xml:space="preserve">Tier A checklist, Tier B/C pre-launch checklist and the go/no-go gate</w:t>
            </w:r>
          </w:p>
        </w:tc>
      </w:tr>
      <w:tr>
        <w:tc>
          <w:tcPr>
            <w:tcW w:type="dxa" w:w="2400"/>
          </w:tcPr>
          <w:p>
            <w:r>
              <w:rPr>
                <w:color w:val="262626"/>
              </w:rPr>
              <w:t xml:space="preserve">8–9. Maintenance and handover</w:t>
            </w:r>
          </w:p>
        </w:tc>
        <w:tc>
          <w:tcPr>
            <w:tcW w:type="dxa" w:w="6240"/>
          </w:tcPr>
          <w:p>
            <w:r>
              <w:rPr>
                <w:color w:val="262626"/>
              </w:rPr>
              <w:t xml:space="preserve">Service levels, responsibilities after launch and the handover pack</w:t>
            </w:r>
          </w:p>
        </w:tc>
      </w:tr>
      <w:tr>
        <w:tc>
          <w:tcPr>
            <w:tcW w:type="dxa" w:w="2400"/>
          </w:tcPr>
          <w:p>
            <w:r>
              <w:rPr>
                <w:color w:val="262626"/>
              </w:rPr>
              <w:t xml:space="preserve">10. References</w:t>
            </w:r>
          </w:p>
        </w:tc>
        <w:tc>
          <w:tcPr>
            <w:tcW w:type="dxa" w:w="6240"/>
          </w:tcPr>
          <w:p>
            <w:r>
              <w:rPr>
                <w:color w:val="262626"/>
              </w:rPr>
              <w:t xml:space="preserve">Standards and sources, version-pinned</w:t>
            </w:r>
          </w:p>
        </w:tc>
      </w:tr>
      <w:tr>
        <w:tc>
          <w:tcPr>
            <w:tcW w:type="dxa" w:w="2400"/>
          </w:tcPr>
          <w:p>
            <w:r>
              <w:rPr>
                <w:color w:val="262626"/>
              </w:rPr>
              <w:t xml:space="preserve">Appendix A</w:t>
            </w:r>
          </w:p>
        </w:tc>
        <w:tc>
          <w:tcPr>
            <w:tcW w:type="dxa" w:w="6240"/>
          </w:tcPr>
          <w:p>
            <w:r>
              <w:rPr>
                <w:color w:val="262626"/>
              </w:rPr>
              <w:t xml:space="preserve">Register and record templates</w:t>
            </w:r>
          </w:p>
        </w:tc>
      </w:tr>
    </w:tbl>
    <w:p/>
    <w:p>
      <w:r>
        <w:t xml:space="preserve">Controls are always written with two digits (control 05) and sections with one (section 5).</w:t>
      </w:r>
    </w:p>
    <w:p>
      <w:pPr>
        <w:pStyle w:val="Heading2"/>
      </w:pPr>
      <w:r>
        <w:t xml:space="preserve">What changed in version 3.1</w:t>
      </w:r>
    </w:p>
    <w:p>
      <w:pPr>
        <w:pStyle w:val="ListBullet"/>
      </w:pPr>
      <w:r>
        <w:rPr>
          <w:b/>
        </w:rPr>
        <w:t xml:space="preserve">Consolidated version 3.0.</w:t>
      </w:r>
      <w:r>
        <w:t xml:space="preserve"> Requirements added in version 3.0 (account recovery, step-up actions, file uploads, SSRF, caching, outbound email, key lifecycle, CI/CD) now sit inside the control they belong to, so each rule appears once.</w:t>
      </w:r>
    </w:p>
    <w:p>
      <w:pPr>
        <w:pStyle w:val="ListBullet"/>
      </w:pPr>
      <w:r>
        <w:rPr>
          <w:b/>
        </w:rPr>
        <w:t xml:space="preserve">Tiers mapped to ASVS levels.</w:t>
      </w:r>
      <w:r>
        <w:t xml:space="preserve"> Tier B is verified against ASVS Level 1 and Tier C against Level 2, replacing a full requirement-by-requirement register on every Tier B site.</w:t>
      </w:r>
    </w:p>
    <w:p>
      <w:pPr>
        <w:pStyle w:val="ListBullet"/>
      </w:pPr>
      <w:r>
        <w:rPr>
          <w:b/>
        </w:rPr>
        <w:t xml:space="preserve">ASVS mapping corrected</w:t>
      </w:r>
      <w:r>
        <w:t xml:space="preserve"> to the 17 ASVS 5.0 chapters, including V12 Secure Communication, V13 Configuration, V14 Data Protection, V15 Secure Coding and Architecture and V16 Security Logging and Error Handling.</w:t>
      </w:r>
    </w:p>
    <w:p>
      <w:pPr>
        <w:pStyle w:val="ListBullet"/>
      </w:pPr>
      <w:r>
        <w:rPr>
          <w:b/>
        </w:rPr>
        <w:t xml:space="preserve">One set of checklists:</w:t>
      </w:r>
      <w:r>
        <w:t xml:space="preserve"> the Tier A checklist, a single Tier B/C pre-launch checklist and the production release gate replace four overlapping lists.</w:t>
      </w:r>
    </w:p>
    <w:p>
      <w:pPr>
        <w:pStyle w:val="ListBullet"/>
      </w:pPr>
      <w:r>
        <w:rPr>
          <w:b/>
        </w:rPr>
        <w:t xml:space="preserve">Templates moved to Appendix A</w:t>
      </w:r>
      <w:r>
        <w:t xml:space="preserve">; references merged into one section; numbering changed so sections and controls can't be confused.</w:t>
      </w:r>
    </w:p>
    <w:p>
      <w:pPr>
        <w:pStyle w:val="Heading1"/>
      </w:pPr>
      <w:r>
        <w:t xml:space="preserve">1. Governance, scope and classification</w:t>
      </w:r>
    </w:p>
    <w:p>
      <w:pPr>
        <w:pStyle w:val="Heading2"/>
      </w:pPr>
      <w:r>
        <w:t xml:space="preserve">Scope</w:t>
      </w:r>
    </w:p>
    <w:p>
      <w:r>
        <w:t xml:space="preserve">Applies to source code, hosting, infrastructure-as-code, CI/CD, domains and DNS, email authentication records, third-party services and scripts, databases, APIs, AI features, admin tools and ongoing maintenance. It also applies to ITWM's own systems and accounts that can reach client environments (control 17). It covers staff, contractors and outsourced developers.</w:t>
      </w:r>
    </w:p>
    <w:p>
      <w:pPr>
        <w:pStyle w:val="Heading2"/>
      </w:pPr>
      <w:r>
        <w:t xml:space="preserve">Risk tiers</w:t>
      </w:r>
    </w:p>
    <w:tbl>
      <w:tblPr>
        <w:tblStyle w:val="LightShading-Accent1"/>
        <w:tblW w:type="dxa" w:w="8640"/>
        <w:tblLook w:firstColumn="1" w:firstRow="1" w:lastColumn="0" w:lastRow="0" w:noHBand="0" w:noVBand="1" w:val="04A0"/>
      </w:tblPr>
      <w:tblGrid>
        <w:gridCol w:w="1900"/>
        <w:gridCol w:w="4840"/>
        <w:gridCol w:w="1900"/>
      </w:tblGrid>
      <w:tr>
        <w:trPr>
          <w:tblHeader/>
        </w:trPr>
        <w:tc>
          <w:tcPr>
            <w:tcW w:type="dxa" w:w="1900"/>
          </w:tcPr>
          <w:p>
            <w:r>
              <w:t xml:space="preserve">Tier</w:t>
            </w:r>
          </w:p>
        </w:tc>
        <w:tc>
          <w:tcPr>
            <w:tcW w:type="dxa" w:w="4840"/>
          </w:tcPr>
          <w:p>
            <w:r>
              <w:t xml:space="preserve">Applies when</w:t>
            </w:r>
          </w:p>
        </w:tc>
        <w:tc>
          <w:tcPr>
            <w:tcW w:type="dxa" w:w="1900"/>
          </w:tcPr>
          <w:p>
            <w:r>
              <w:t xml:space="preserve">ASVS 5.0 target</w:t>
            </w:r>
          </w:p>
        </w:tc>
      </w:tr>
      <w:tr>
        <w:tc>
          <w:tcPr>
            <w:tcW w:type="dxa" w:w="1900"/>
          </w:tcPr>
          <w:p>
            <w:r>
              <w:rPr>
                <w:color w:val="262626"/>
              </w:rPr>
              <w:t xml:space="preserve">A – Brochure</w:t>
            </w:r>
          </w:p>
        </w:tc>
        <w:tc>
          <w:tcPr>
            <w:tcW w:type="dxa" w:w="4840"/>
          </w:tcPr>
          <w:p>
            <w:r>
              <w:rPr>
                <w:color w:val="262626"/>
              </w:rPr>
              <w:t xml:space="preserve">Static or content-managed marketing site. No login, no payments. Forms (if any) collect only name, email, phone and a short structured selection, with no free-text field.</w:t>
            </w:r>
          </w:p>
        </w:tc>
        <w:tc>
          <w:tcPr>
            <w:tcW w:type="dxa" w:w="1900"/>
          </w:tcPr>
          <w:p>
            <w:r>
              <w:rPr>
                <w:color w:val="262626"/>
              </w:rPr>
              <w:t xml:space="preserve">Tier A checklist (section 7)</w:t>
            </w:r>
          </w:p>
        </w:tc>
      </w:tr>
      <w:tr>
        <w:tc>
          <w:tcPr>
            <w:tcW w:type="dxa" w:w="1900"/>
          </w:tcPr>
          <w:p>
            <w:r>
              <w:rPr>
                <w:color w:val="262626"/>
              </w:rPr>
              <w:t xml:space="preserve">B – Standard (default)</w:t>
            </w:r>
          </w:p>
        </w:tc>
        <w:tc>
          <w:tcPr>
            <w:tcW w:type="dxa" w:w="4840"/>
          </w:tcPr>
          <w:p>
            <w:r>
              <w:rPr>
                <w:color w:val="262626"/>
              </w:rPr>
              <w:t xml:space="preserve">Any enquiry form with a free-text field; CRM, email-marketing or booking integration; CMS or staff administration; AI chat features; or any client in a regulated profession (law, accounting, financial advice, credit and mortgage broking, health). Professional services clients start here.</w:t>
            </w:r>
          </w:p>
        </w:tc>
        <w:tc>
          <w:tcPr>
            <w:tcW w:type="dxa" w:w="1900"/>
          </w:tcPr>
          <w:p>
            <w:r>
              <w:rPr>
                <w:color w:val="262626"/>
              </w:rPr>
              <w:t xml:space="preserve">Level 1</w:t>
            </w:r>
          </w:p>
        </w:tc>
      </w:tr>
      <w:tr>
        <w:tc>
          <w:tcPr>
            <w:tcW w:type="dxa" w:w="1900"/>
          </w:tcPr>
          <w:p>
            <w:r>
              <w:rPr>
                <w:color w:val="262626"/>
              </w:rPr>
              <w:t xml:space="preserve">C – High</w:t>
            </w:r>
          </w:p>
        </w:tc>
        <w:tc>
          <w:tcPr>
            <w:tcW w:type="dxa" w:w="4840"/>
          </w:tcPr>
          <w:p>
            <w:r>
              <w:rPr>
                <w:color w:val="262626"/>
              </w:rPr>
              <w:t xml:space="preserve">Client portals or user accounts; document upload; payments; storage of financial, health, identity or legal-matter data; complex roles or multi-tenant access; high-value accounts.</w:t>
            </w:r>
          </w:p>
        </w:tc>
        <w:tc>
          <w:tcPr>
            <w:tcW w:type="dxa" w:w="1900"/>
          </w:tcPr>
          <w:p>
            <w:r>
              <w:rPr>
                <w:color w:val="262626"/>
              </w:rPr>
              <w:t xml:space="preserve">Level 2</w:t>
            </w:r>
          </w:p>
        </w:tc>
      </w:tr>
    </w:tbl>
    <w:p/>
    <w:p>
      <w:r>
        <w:t xml:space="preserve">Why free text moves a site to Tier B: a "tell us about your matter" field on a law firm or financial planner site will collect health, criminal-record or financial details whether or not the form asks for them. Some of that is "sensitive information" under the Privacy Act and must be protected accordingly. A formal risk assessment can move a project up a tier, but never below these rules. A client contract may require a higher ASVS level.</w:t>
      </w:r>
    </w:p>
    <w:p>
      <w:pPr>
        <w:pStyle w:val="Heading2"/>
      </w:pPr>
      <w:r>
        <w:t xml:space="preserve">What each tier requires</w:t>
      </w:r>
    </w:p>
    <w:tbl>
      <w:tblPr>
        <w:tblStyle w:val="LightShading-Accent1"/>
        <w:tblW w:type="dxa" w:w="8640"/>
        <w:tblLook w:firstColumn="1" w:firstRow="1" w:lastColumn="0" w:lastRow="0" w:noHBand="0" w:noVBand="1" w:val="04A0"/>
      </w:tblPr>
      <w:tblGrid>
        <w:gridCol w:w="3240"/>
        <w:gridCol w:w="1800"/>
        <w:gridCol w:w="1800"/>
        <w:gridCol w:w="1800"/>
      </w:tblGrid>
      <w:tr>
        <w:trPr>
          <w:tblHeader/>
        </w:trPr>
        <w:tc>
          <w:tcPr>
            <w:tcW w:type="dxa" w:w="3240"/>
          </w:tcPr>
          <w:p>
            <w:r>
              <w:t xml:space="preserve">Requirement</w:t>
            </w:r>
          </w:p>
        </w:tc>
        <w:tc>
          <w:tcPr>
            <w:tcW w:type="dxa" w:w="1800"/>
          </w:tcPr>
          <w:p>
            <w:r>
              <w:t xml:space="preserve">Tier A</w:t>
            </w:r>
          </w:p>
        </w:tc>
        <w:tc>
          <w:tcPr>
            <w:tcW w:type="dxa" w:w="1800"/>
          </w:tcPr>
          <w:p>
            <w:r>
              <w:t xml:space="preserve">Tier B</w:t>
            </w:r>
          </w:p>
        </w:tc>
        <w:tc>
          <w:tcPr>
            <w:tcW w:type="dxa" w:w="1800"/>
          </w:tcPr>
          <w:p>
            <w:r>
              <w:t xml:space="preserve">Tier C</w:t>
            </w:r>
          </w:p>
        </w:tc>
      </w:tr>
      <w:tr>
        <w:tc>
          <w:tcPr>
            <w:tcW w:type="dxa" w:w="3240"/>
          </w:tcPr>
          <w:p>
            <w:r>
              <w:rPr>
                <w:color w:val="262626"/>
              </w:rPr>
              <w:t xml:space="preserve">Tier A checklist (section 7)</w:t>
            </w:r>
          </w:p>
        </w:tc>
        <w:tc>
          <w:tcPr>
            <w:tcW w:type="dxa" w:w="1800"/>
          </w:tcPr>
          <w:p>
            <w:r>
              <w:rPr>
                <w:color w:val="262626"/>
              </w:rPr>
              <w:t xml:space="preserve">Required</w:t>
            </w:r>
          </w:p>
        </w:tc>
        <w:tc>
          <w:tcPr>
            <w:tcW w:type="dxa" w:w="1800"/>
          </w:tcPr>
          <w:p>
            <w:r>
              <w:rPr>
                <w:color w:val="262626"/>
              </w:rPr>
              <w:t xml:space="preserve">Required</w:t>
            </w:r>
          </w:p>
        </w:tc>
        <w:tc>
          <w:tcPr>
            <w:tcW w:type="dxa" w:w="1800"/>
          </w:tcPr>
          <w:p>
            <w:r>
              <w:rPr>
                <w:color w:val="262626"/>
              </w:rPr>
              <w:t xml:space="preserve">Required</w:t>
            </w:r>
          </w:p>
        </w:tc>
      </w:tr>
      <w:tr>
        <w:tc>
          <w:tcPr>
            <w:tcW w:type="dxa" w:w="3240"/>
          </w:tcPr>
          <w:p>
            <w:r>
              <w:rPr>
                <w:color w:val="262626"/>
              </w:rPr>
              <w:t xml:space="preserve">Controls 01–22 with evidence register</w:t>
            </w:r>
          </w:p>
        </w:tc>
        <w:tc>
          <w:tcPr>
            <w:tcW w:type="dxa" w:w="1800"/>
          </w:tcPr>
          <w:p>
            <w:r>
              <w:rPr>
                <w:color w:val="262626"/>
              </w:rPr>
              <w:t xml:space="preserve">Checklist only</w:t>
            </w:r>
          </w:p>
        </w:tc>
        <w:tc>
          <w:tcPr>
            <w:tcW w:type="dxa" w:w="1800"/>
          </w:tcPr>
          <w:p>
            <w:r>
              <w:rPr>
                <w:color w:val="262626"/>
              </w:rPr>
              <w:t xml:space="preserve">All applicable</w:t>
            </w:r>
          </w:p>
        </w:tc>
        <w:tc>
          <w:tcPr>
            <w:tcW w:type="dxa" w:w="1800"/>
          </w:tcPr>
          <w:p>
            <w:r>
              <w:rPr>
                <w:color w:val="262626"/>
              </w:rPr>
              <w:t xml:space="preserve">All applicable</w:t>
            </w:r>
          </w:p>
        </w:tc>
      </w:tr>
      <w:tr>
        <w:tc>
          <w:tcPr>
            <w:tcW w:type="dxa" w:w="3240"/>
          </w:tcPr>
          <w:p>
            <w:r>
              <w:rPr>
                <w:color w:val="262626"/>
              </w:rPr>
              <w:t xml:space="preserve">ASVS applicability register (section 5)</w:t>
            </w:r>
          </w:p>
        </w:tc>
        <w:tc>
          <w:tcPr>
            <w:tcW w:type="dxa" w:w="1800"/>
          </w:tcPr>
          <w:p>
            <w:r>
              <w:rPr>
                <w:color w:val="262626"/>
              </w:rPr>
              <w:t xml:space="preserve">–</w:t>
            </w:r>
          </w:p>
        </w:tc>
        <w:tc>
          <w:tcPr>
            <w:tcW w:type="dxa" w:w="1800"/>
          </w:tcPr>
          <w:p>
            <w:r>
              <w:rPr>
                <w:color w:val="262626"/>
              </w:rPr>
              <w:t xml:space="preserve">Level 1</w:t>
            </w:r>
          </w:p>
        </w:tc>
        <w:tc>
          <w:tcPr>
            <w:tcW w:type="dxa" w:w="1800"/>
          </w:tcPr>
          <w:p>
            <w:r>
              <w:rPr>
                <w:color w:val="262626"/>
              </w:rPr>
              <w:t xml:space="preserve">Level 2</w:t>
            </w:r>
          </w:p>
        </w:tc>
      </w:tr>
      <w:tr>
        <w:tc>
          <w:tcPr>
            <w:tcW w:type="dxa" w:w="3240"/>
          </w:tcPr>
          <w:p>
            <w:r>
              <w:rPr>
                <w:color w:val="262626"/>
              </w:rPr>
              <w:t xml:space="preserve">Threat model (section 5)</w:t>
            </w:r>
          </w:p>
        </w:tc>
        <w:tc>
          <w:tcPr>
            <w:tcW w:type="dxa" w:w="1800"/>
          </w:tcPr>
          <w:p>
            <w:r>
              <w:rPr>
                <w:color w:val="262626"/>
              </w:rPr>
              <w:t xml:space="preserve">–</w:t>
            </w:r>
          </w:p>
        </w:tc>
        <w:tc>
          <w:tcPr>
            <w:tcW w:type="dxa" w:w="1800"/>
          </w:tcPr>
          <w:p>
            <w:r>
              <w:rPr>
                <w:color w:val="262626"/>
              </w:rPr>
              <w:t xml:space="preserve">Lightweight STRIDE</w:t>
            </w:r>
          </w:p>
        </w:tc>
        <w:tc>
          <w:tcPr>
            <w:tcW w:type="dxa" w:w="1800"/>
          </w:tcPr>
          <w:p>
            <w:r>
              <w:rPr>
                <w:color w:val="262626"/>
              </w:rPr>
              <w:t xml:space="preserve">Documented, independently reviewed</w:t>
            </w:r>
          </w:p>
        </w:tc>
      </w:tr>
      <w:tr>
        <w:tc>
          <w:tcPr>
            <w:tcW w:type="dxa" w:w="3240"/>
          </w:tcPr>
          <w:p>
            <w:r>
              <w:rPr>
                <w:color w:val="262626"/>
              </w:rPr>
              <w:t xml:space="preserve">Data classification and retention register</w:t>
            </w:r>
          </w:p>
        </w:tc>
        <w:tc>
          <w:tcPr>
            <w:tcW w:type="dxa" w:w="1800"/>
          </w:tcPr>
          <w:p>
            <w:r>
              <w:rPr>
                <w:color w:val="262626"/>
              </w:rPr>
              <w:t xml:space="preserve">–</w:t>
            </w:r>
          </w:p>
        </w:tc>
        <w:tc>
          <w:tcPr>
            <w:tcW w:type="dxa" w:w="1800"/>
          </w:tcPr>
          <w:p>
            <w:r>
              <w:rPr>
                <w:color w:val="262626"/>
              </w:rPr>
              <w:t xml:space="preserve">Required</w:t>
            </w:r>
          </w:p>
        </w:tc>
        <w:tc>
          <w:tcPr>
            <w:tcW w:type="dxa" w:w="1800"/>
          </w:tcPr>
          <w:p>
            <w:r>
              <w:rPr>
                <w:color w:val="262626"/>
              </w:rPr>
              <w:t xml:space="preserve">Required</w:t>
            </w:r>
          </w:p>
        </w:tc>
      </w:tr>
      <w:tr>
        <w:tc>
          <w:tcPr>
            <w:tcW w:type="dxa" w:w="3240"/>
          </w:tcPr>
          <w:p>
            <w:r>
              <w:rPr>
                <w:color w:val="262626"/>
              </w:rPr>
              <w:t xml:space="preserve">Permissions matrix (control 04)</w:t>
            </w:r>
          </w:p>
        </w:tc>
        <w:tc>
          <w:tcPr>
            <w:tcW w:type="dxa" w:w="1800"/>
          </w:tcPr>
          <w:p>
            <w:r>
              <w:rPr>
                <w:color w:val="262626"/>
              </w:rPr>
              <w:t xml:space="preserve">–</w:t>
            </w:r>
          </w:p>
        </w:tc>
        <w:tc>
          <w:tcPr>
            <w:tcW w:type="dxa" w:w="1800"/>
          </w:tcPr>
          <w:p>
            <w:r>
              <w:rPr>
                <w:color w:val="262626"/>
              </w:rPr>
              <w:t xml:space="preserve">If more than one role</w:t>
            </w:r>
          </w:p>
        </w:tc>
        <w:tc>
          <w:tcPr>
            <w:tcW w:type="dxa" w:w="1800"/>
          </w:tcPr>
          <w:p>
            <w:r>
              <w:rPr>
                <w:color w:val="262626"/>
              </w:rPr>
              <w:t xml:space="preserve">Required</w:t>
            </w:r>
          </w:p>
        </w:tc>
      </w:tr>
      <w:tr>
        <w:tc>
          <w:tcPr>
            <w:tcW w:type="dxa" w:w="3240"/>
          </w:tcPr>
          <w:p>
            <w:r>
              <w:rPr>
                <w:color w:val="262626"/>
              </w:rPr>
              <w:t xml:space="preserve">Vendor assessment (section 5)</w:t>
            </w:r>
          </w:p>
        </w:tc>
        <w:tc>
          <w:tcPr>
            <w:tcW w:type="dxa" w:w="1800"/>
          </w:tcPr>
          <w:p>
            <w:r>
              <w:rPr>
                <w:color w:val="262626"/>
              </w:rPr>
              <w:t xml:space="preserve">–</w:t>
            </w:r>
          </w:p>
        </w:tc>
        <w:tc>
          <w:tcPr>
            <w:tcW w:type="dxa" w:w="1800"/>
          </w:tcPr>
          <w:p>
            <w:r>
              <w:rPr>
                <w:color w:val="262626"/>
              </w:rPr>
              <w:t xml:space="preserve">Vendors receiving Confidential data</w:t>
            </w:r>
          </w:p>
        </w:tc>
        <w:tc>
          <w:tcPr>
            <w:tcW w:type="dxa" w:w="1800"/>
          </w:tcPr>
          <w:p>
            <w:r>
              <w:rPr>
                <w:color w:val="262626"/>
              </w:rPr>
              <w:t xml:space="preserve">All material vendors</w:t>
            </w:r>
          </w:p>
        </w:tc>
      </w:tr>
      <w:tr>
        <w:tc>
          <w:tcPr>
            <w:tcW w:type="dxa" w:w="3240"/>
          </w:tcPr>
          <w:p>
            <w:r>
              <w:rPr>
                <w:color w:val="262626"/>
              </w:rPr>
              <w:t xml:space="preserve">Automated SAST, dependency and secret scanning</w:t>
            </w:r>
          </w:p>
        </w:tc>
        <w:tc>
          <w:tcPr>
            <w:tcW w:type="dxa" w:w="1800"/>
          </w:tcPr>
          <w:p>
            <w:r>
              <w:rPr>
                <w:color w:val="262626"/>
              </w:rPr>
              <w:t xml:space="preserve">Required</w:t>
            </w:r>
          </w:p>
        </w:tc>
        <w:tc>
          <w:tcPr>
            <w:tcW w:type="dxa" w:w="1800"/>
          </w:tcPr>
          <w:p>
            <w:r>
              <w:rPr>
                <w:color w:val="262626"/>
              </w:rPr>
              <w:t xml:space="preserve">Required</w:t>
            </w:r>
          </w:p>
        </w:tc>
        <w:tc>
          <w:tcPr>
            <w:tcW w:type="dxa" w:w="1800"/>
          </w:tcPr>
          <w:p>
            <w:r>
              <w:rPr>
                <w:color w:val="262626"/>
              </w:rPr>
              <w:t xml:space="preserve">Required</w:t>
            </w:r>
          </w:p>
        </w:tc>
      </w:tr>
      <w:tr>
        <w:tc>
          <w:tcPr>
            <w:tcW w:type="dxa" w:w="3240"/>
          </w:tcPr>
          <w:p>
            <w:r>
              <w:rPr>
                <w:color w:val="262626"/>
              </w:rPr>
              <w:t xml:space="preserve">DAST or manual security testing</w:t>
            </w:r>
          </w:p>
        </w:tc>
        <w:tc>
          <w:tcPr>
            <w:tcW w:type="dxa" w:w="1800"/>
          </w:tcPr>
          <w:p>
            <w:r>
              <w:rPr>
                <w:color w:val="262626"/>
              </w:rPr>
              <w:t xml:space="preserve">–</w:t>
            </w:r>
          </w:p>
        </w:tc>
        <w:tc>
          <w:tcPr>
            <w:tcW w:type="dxa" w:w="1800"/>
          </w:tcPr>
          <w:p>
            <w:r>
              <w:rPr>
                <w:color w:val="262626"/>
              </w:rPr>
              <w:t xml:space="preserve">Targeted</w:t>
            </w:r>
          </w:p>
        </w:tc>
        <w:tc>
          <w:tcPr>
            <w:tcW w:type="dxa" w:w="1800"/>
          </w:tcPr>
          <w:p>
            <w:r>
              <w:rPr>
                <w:color w:val="262626"/>
              </w:rPr>
              <w:t xml:space="preserve">Required</w:t>
            </w:r>
          </w:p>
        </w:tc>
      </w:tr>
      <w:tr>
        <w:tc>
          <w:tcPr>
            <w:tcW w:type="dxa" w:w="3240"/>
          </w:tcPr>
          <w:p>
            <w:r>
              <w:rPr>
                <w:color w:val="262626"/>
              </w:rPr>
              <w:t xml:space="preserve">Independent penetration test</w:t>
            </w:r>
          </w:p>
        </w:tc>
        <w:tc>
          <w:tcPr>
            <w:tcW w:type="dxa" w:w="1800"/>
          </w:tcPr>
          <w:p>
            <w:r>
              <w:rPr>
                <w:color w:val="262626"/>
              </w:rPr>
              <w:t xml:space="preserve">–</w:t>
            </w:r>
          </w:p>
        </w:tc>
        <w:tc>
          <w:tcPr>
            <w:tcW w:type="dxa" w:w="1800"/>
          </w:tcPr>
          <w:p>
            <w:r>
              <w:rPr>
                <w:color w:val="262626"/>
              </w:rPr>
              <w:t xml:space="preserve">By risk</w:t>
            </w:r>
          </w:p>
        </w:tc>
        <w:tc>
          <w:tcPr>
            <w:tcW w:type="dxa" w:w="1800"/>
          </w:tcPr>
          <w:p>
            <w:r>
              <w:rPr>
                <w:color w:val="262626"/>
              </w:rPr>
              <w:t xml:space="preserve">Required</w:t>
            </w:r>
          </w:p>
        </w:tc>
      </w:tr>
      <w:tr>
        <w:tc>
          <w:tcPr>
            <w:tcW w:type="dxa" w:w="3240"/>
          </w:tcPr>
          <w:p>
            <w:r>
              <w:rPr>
                <w:color w:val="262626"/>
              </w:rPr>
              <w:t xml:space="preserve">Independent review of evidence</w:t>
            </w:r>
          </w:p>
        </w:tc>
        <w:tc>
          <w:tcPr>
            <w:tcW w:type="dxa" w:w="1800"/>
          </w:tcPr>
          <w:p>
            <w:r>
              <w:rPr>
                <w:color w:val="262626"/>
              </w:rPr>
              <w:t xml:space="preserve">–</w:t>
            </w:r>
          </w:p>
        </w:tc>
        <w:tc>
          <w:tcPr>
            <w:tcW w:type="dxa" w:w="1800"/>
          </w:tcPr>
          <w:p>
            <w:r>
              <w:rPr>
                <w:color w:val="262626"/>
              </w:rPr>
              <w:t xml:space="preserve">Required</w:t>
            </w:r>
          </w:p>
        </w:tc>
        <w:tc>
          <w:tcPr>
            <w:tcW w:type="dxa" w:w="1800"/>
          </w:tcPr>
          <w:p>
            <w:r>
              <w:rPr>
                <w:color w:val="262626"/>
              </w:rPr>
              <w:t xml:space="preserve">Required</w:t>
            </w:r>
          </w:p>
        </w:tc>
      </w:tr>
      <w:tr>
        <w:tc>
          <w:tcPr>
            <w:tcW w:type="dxa" w:w="3240"/>
          </w:tcPr>
          <w:p>
            <w:r>
              <w:rPr>
                <w:color w:val="262626"/>
              </w:rPr>
              <w:t xml:space="preserve">Data-flow diagram reviewed by client</w:t>
            </w:r>
          </w:p>
        </w:tc>
        <w:tc>
          <w:tcPr>
            <w:tcW w:type="dxa" w:w="1800"/>
          </w:tcPr>
          <w:p>
            <w:r>
              <w:rPr>
                <w:color w:val="262626"/>
              </w:rPr>
              <w:t xml:space="preserve">–</w:t>
            </w:r>
          </w:p>
        </w:tc>
        <w:tc>
          <w:tcPr>
            <w:tcW w:type="dxa" w:w="1800"/>
          </w:tcPr>
          <w:p>
            <w:r>
              <w:rPr>
                <w:color w:val="262626"/>
              </w:rPr>
              <w:t xml:space="preserve">Recommended</w:t>
            </w:r>
          </w:p>
        </w:tc>
        <w:tc>
          <w:tcPr>
            <w:tcW w:type="dxa" w:w="1800"/>
          </w:tcPr>
          <w:p>
            <w:r>
              <w:rPr>
                <w:color w:val="262626"/>
              </w:rPr>
              <w:t xml:space="preserve">Required</w:t>
            </w:r>
          </w:p>
        </w:tc>
      </w:tr>
      <w:tr>
        <w:tc>
          <w:tcPr>
            <w:tcW w:type="dxa" w:w="3240"/>
          </w:tcPr>
          <w:p>
            <w:r>
              <w:rPr>
                <w:color w:val="262626"/>
              </w:rPr>
              <w:t xml:space="preserve">SBOM</w:t>
            </w:r>
          </w:p>
        </w:tc>
        <w:tc>
          <w:tcPr>
            <w:tcW w:type="dxa" w:w="1800"/>
          </w:tcPr>
          <w:p>
            <w:r>
              <w:rPr>
                <w:color w:val="262626"/>
              </w:rPr>
              <w:t xml:space="preserve">–</w:t>
            </w:r>
          </w:p>
        </w:tc>
        <w:tc>
          <w:tcPr>
            <w:tcW w:type="dxa" w:w="1800"/>
          </w:tcPr>
          <w:p>
            <w:r>
              <w:rPr>
                <w:color w:val="262626"/>
              </w:rPr>
              <w:t xml:space="preserve">Where risk or client requires</w:t>
            </w:r>
          </w:p>
        </w:tc>
        <w:tc>
          <w:tcPr>
            <w:tcW w:type="dxa" w:w="1800"/>
          </w:tcPr>
          <w:p>
            <w:r>
              <w:rPr>
                <w:color w:val="262626"/>
              </w:rPr>
              <w:t xml:space="preserve">Required</w:t>
            </w:r>
          </w:p>
        </w:tc>
      </w:tr>
      <w:tr>
        <w:tc>
          <w:tcPr>
            <w:tcW w:type="dxa" w:w="3240"/>
          </w:tcPr>
          <w:p>
            <w:r>
              <w:rPr>
                <w:color w:val="262626"/>
              </w:rPr>
              <w:t xml:space="preserve">Restore rehearsal before launch</w:t>
            </w:r>
          </w:p>
        </w:tc>
        <w:tc>
          <w:tcPr>
            <w:tcW w:type="dxa" w:w="1800"/>
          </w:tcPr>
          <w:p>
            <w:r>
              <w:rPr>
                <w:color w:val="262626"/>
              </w:rPr>
              <w:t xml:space="preserve">Config and content</w:t>
            </w:r>
          </w:p>
        </w:tc>
        <w:tc>
          <w:tcPr>
            <w:tcW w:type="dxa" w:w="1800"/>
          </w:tcPr>
          <w:p>
            <w:r>
              <w:rPr>
                <w:color w:val="262626"/>
              </w:rPr>
              <w:t xml:space="preserve">Required</w:t>
            </w:r>
          </w:p>
        </w:tc>
        <w:tc>
          <w:tcPr>
            <w:tcW w:type="dxa" w:w="1800"/>
          </w:tcPr>
          <w:p>
            <w:r>
              <w:rPr>
                <w:color w:val="262626"/>
              </w:rPr>
              <w:t xml:space="preserve">Required, with backup isolation</w:t>
            </w:r>
          </w:p>
        </w:tc>
      </w:tr>
      <w:tr>
        <w:tc>
          <w:tcPr>
            <w:tcW w:type="dxa" w:w="3240"/>
          </w:tcPr>
          <w:p>
            <w:r>
              <w:rPr>
                <w:color w:val="262626"/>
              </w:rPr>
              <w:t xml:space="preserve">Production release gate (section 7)</w:t>
            </w:r>
          </w:p>
        </w:tc>
        <w:tc>
          <w:tcPr>
            <w:tcW w:type="dxa" w:w="1800"/>
          </w:tcPr>
          <w:p>
            <w:r>
              <w:rPr>
                <w:color w:val="262626"/>
              </w:rPr>
              <w:t xml:space="preserve">Checklist sign-off</w:t>
            </w:r>
          </w:p>
        </w:tc>
        <w:tc>
          <w:tcPr>
            <w:tcW w:type="dxa" w:w="1800"/>
          </w:tcPr>
          <w:p>
            <w:r>
              <w:rPr>
                <w:color w:val="262626"/>
              </w:rPr>
              <w:t xml:space="preserve">Required</w:t>
            </w:r>
          </w:p>
        </w:tc>
        <w:tc>
          <w:tcPr>
            <w:tcW w:type="dxa" w:w="1800"/>
          </w:tcPr>
          <w:p>
            <w:r>
              <w:rPr>
                <w:color w:val="262626"/>
              </w:rPr>
              <w:t xml:space="preserve">Required, with independent sign-off</w:t>
            </w:r>
          </w:p>
        </w:tc>
      </w:tr>
    </w:tbl>
    <w:p/>
    <w:p>
      <w:pPr>
        <w:pStyle w:val="Heading2"/>
      </w:pPr>
      <w:r>
        <w:t xml:space="preserve">Accountability</w:t>
      </w:r>
    </w:p>
    <w:p>
      <w:r>
        <w:t xml:space="preserve">The project owner approves scope and tier. The technical lead implements and documents controls. An independent reviewer (someone who didn't build it) verifies evidence for Tier B and C. The client owns post-handover decisions explicitly allocated in the contract. ITWM's director owns this framework. People approving security-sensitive changes on Tier B/C work must meet the competency requirements in section 5.</w:t>
      </w:r>
    </w:p>
    <w:p>
      <w:pPr>
        <w:pStyle w:val="Heading2"/>
      </w:pPr>
      <w:r>
        <w:t xml:space="preserve">Evidence and exceptions</w:t>
      </w:r>
    </w:p>
    <w:p>
      <w:r>
        <w:t xml:space="preserve">Keep a control evidence register (Appendix A) with control ID, applicability, implementation, test evidence, owner, date, status and residual risk. Registers may live in the project repository, ticketing system or a controlled client workspace with restricted access. Exceptions need a business justification, compensating controls, an expiry date and written approval.</w:t>
      </w:r>
    </w:p>
    <w:p>
      <w:pPr>
        <w:pStyle w:val="Heading2"/>
      </w:pPr>
      <w:r>
        <w:t xml:space="preserve">Document control</w:t>
      </w:r>
    </w:p>
    <w:p>
      <w:r>
        <w:t xml:space="preserve">Owner: ITWM director. Review at least every 12 months, and within 30 days of a material change in law, a critical framework vulnerability (for example in Next.js or React), a significant security incident, a material architecture change or a new stable ASVS release. Security decisions and exceptions reference the framework version in force when the project was approved; projects don't switch benchmark mid-build.</w:t>
      </w:r>
    </w:p>
    <w:tbl>
      <w:tblPr>
        <w:tblStyle w:val="LightShading-Accent1"/>
        <w:tblW w:type="dxa" w:w="8640"/>
        <w:tblLook w:firstColumn="1" w:firstRow="1" w:lastColumn="0" w:lastRow="0" w:noHBand="0" w:noVBand="1" w:val="04A0"/>
      </w:tblPr>
      <w:tblGrid>
        <w:gridCol w:w="1400"/>
        <w:gridCol w:w="1800"/>
        <w:gridCol w:w="5440"/>
      </w:tblGrid>
      <w:tr>
        <w:trPr>
          <w:tblHeader/>
        </w:trPr>
        <w:tc>
          <w:tcPr>
            <w:tcW w:type="dxa" w:w="1400"/>
          </w:tcPr>
          <w:p>
            <w:r>
              <w:t xml:space="preserve">Version</w:t>
            </w:r>
          </w:p>
        </w:tc>
        <w:tc>
          <w:tcPr>
            <w:tcW w:type="dxa" w:w="1800"/>
          </w:tcPr>
          <w:p>
            <w:r>
              <w:t xml:space="preserve">Date</w:t>
            </w:r>
          </w:p>
        </w:tc>
        <w:tc>
          <w:tcPr>
            <w:tcW w:type="dxa" w:w="5440"/>
          </w:tcPr>
          <w:p>
            <w:r>
              <w:t xml:space="preserve">Summary</w:t>
            </w:r>
          </w:p>
        </w:tc>
      </w:tr>
      <w:tr>
        <w:tc>
          <w:tcPr>
            <w:tcW w:type="dxa" w:w="1400"/>
          </w:tcPr>
          <w:p>
            <w:r>
              <w:rPr>
                <w:color w:val="262626"/>
              </w:rPr>
              <w:t xml:space="preserve">1.0</w:t>
            </w:r>
          </w:p>
        </w:tc>
        <w:tc>
          <w:tcPr>
            <w:tcW w:type="dxa" w:w="1800"/>
          </w:tcPr>
          <w:p>
            <w:r>
              <w:rPr>
                <w:color w:val="262626"/>
              </w:rPr>
              <w:t xml:space="preserve">17 Oct 2026</w:t>
            </w:r>
          </w:p>
        </w:tc>
        <w:tc>
          <w:tcPr>
            <w:tcW w:type="dxa" w:w="5440"/>
          </w:tcPr>
          <w:p>
            <w:r>
              <w:rPr>
                <w:color w:val="262626"/>
              </w:rPr>
              <w:t xml:space="preserve">Initial 16-control framework.</w:t>
            </w:r>
          </w:p>
        </w:tc>
      </w:tr>
      <w:tr>
        <w:tc>
          <w:tcPr>
            <w:tcW w:type="dxa" w:w="1400"/>
          </w:tcPr>
          <w:p>
            <w:r>
              <w:rPr>
                <w:color w:val="262626"/>
              </w:rPr>
              <w:t xml:space="preserve">2.0</w:t>
            </w:r>
          </w:p>
        </w:tc>
        <w:tc>
          <w:tcPr>
            <w:tcW w:type="dxa" w:w="1800"/>
          </w:tcPr>
          <w:p>
            <w:r>
              <w:rPr>
                <w:color w:val="262626"/>
              </w:rPr>
              <w:t xml:space="preserve">17 Oct 2026</w:t>
            </w:r>
          </w:p>
        </w:tc>
        <w:tc>
          <w:tcPr>
            <w:tcW w:type="dxa" w:w="5440"/>
          </w:tcPr>
          <w:p>
            <w:r>
              <w:rPr>
                <w:color w:val="262626"/>
              </w:rPr>
              <w:t xml:space="preserve">Added controls 17–22, Next.js standard, revised tiers, Tier A checklist, Australian law update, pinned standards.</w:t>
            </w:r>
          </w:p>
        </w:tc>
      </w:tr>
      <w:tr>
        <w:tc>
          <w:tcPr>
            <w:tcW w:type="dxa" w:w="1400"/>
          </w:tcPr>
          <w:p>
            <w:r>
              <w:rPr>
                <w:color w:val="262626"/>
              </w:rPr>
              <w:t xml:space="preserve">3.0</w:t>
            </w:r>
          </w:p>
        </w:tc>
        <w:tc>
          <w:tcPr>
            <w:tcW w:type="dxa" w:w="1800"/>
          </w:tcPr>
          <w:p>
            <w:r>
              <w:rPr>
                <w:color w:val="262626"/>
              </w:rPr>
              <w:t xml:space="preserve">17 Oct 2026</w:t>
            </w:r>
          </w:p>
        </w:tc>
        <w:tc>
          <w:tcPr>
            <w:tcW w:type="dxa" w:w="5440"/>
          </w:tcPr>
          <w:p>
            <w:r>
              <w:rPr>
                <w:color w:val="262626"/>
              </w:rPr>
              <w:t xml:space="preserve">Added ASVS traceability, STRIDE threat modelling, data classification and retention, expanded technical controls, CI/CD, vendor assurance, vulnerability and incident workflows, competency and release gate.</w:t>
            </w:r>
          </w:p>
        </w:tc>
      </w:tr>
      <w:tr>
        <w:tc>
          <w:tcPr>
            <w:tcW w:type="dxa" w:w="1400"/>
          </w:tcPr>
          <w:p>
            <w:r>
              <w:rPr>
                <w:color w:val="262626"/>
              </w:rPr>
              <w:t xml:space="preserve">3.1</w:t>
            </w:r>
          </w:p>
        </w:tc>
        <w:tc>
          <w:tcPr>
            <w:tcW w:type="dxa" w:w="1800"/>
          </w:tcPr>
          <w:p>
            <w:r>
              <w:rPr>
                <w:color w:val="262626"/>
              </w:rPr>
              <w:t xml:space="preserve">17 Oct 2026</w:t>
            </w:r>
          </w:p>
        </w:tc>
        <w:tc>
          <w:tcPr>
            <w:tcW w:type="dxa" w:w="5440"/>
          </w:tcPr>
          <w:p>
            <w:r>
              <w:rPr>
                <w:color w:val="262626"/>
              </w:rPr>
              <w:t xml:space="preserve">Consolidated 3.0 into the controls; tiers mapped to ASVS levels; ASVS chapter mapping corrected; checklists merged; templates moved to Appendix A.</w:t>
            </w:r>
          </w:p>
        </w:tc>
      </w:tr>
    </w:tbl>
    <w:p/>
    <w:p>
      <w:pPr>
        <w:pStyle w:val="Heading1"/>
      </w:pPr>
      <w:r>
        <w:t xml:space="preserve">2. Secure development lifecycle</w:t>
      </w:r>
    </w:p>
    <w:p>
      <w:pPr>
        <w:pStyle w:val="Heading2"/>
      </w:pPr>
      <w:r>
        <w:t xml:space="preserve">Discovery</w:t>
      </w:r>
    </w:p>
    <w:p>
      <w:r>
        <w:t xml:space="preserve">Confirm the tier. Build a data inventory, including what free-text fields could realistically capture, and apply the privacy-by-design questions in section 5. Identify legal and regulatory applicability (section 6), third-party processors and scripts, security requirements, likely abuse cases and who owns the domain, registrar, DNS, hosting team, repository and Tag Manager container (the client should own all of them).</w:t>
      </w:r>
    </w:p>
    <w:p>
      <w:pPr>
        <w:pStyle w:val="Heading2"/>
      </w:pPr>
      <w:r>
        <w:t xml:space="preserve">Design</w:t>
      </w:r>
    </w:p>
    <w:p>
      <w:r>
        <w:t xml:space="preserve">Draw the architecture and data-flow diagram with trust boundaries, then the threat model (section 5). Define authentication and authorisation, including every Server Action and Route Handler, the permissions matrix and privileged actions (controls 02–04). Record data classification and retention, vendor dependencies, cryptographic uses, recovery objectives and abuse controls.</w:t>
      </w:r>
    </w:p>
    <w:p>
      <w:pPr>
        <w:pStyle w:val="Heading2"/>
      </w:pPr>
      <w:r>
        <w:t xml:space="preserve">Build</w:t>
      </w:r>
    </w:p>
    <w:p>
      <w:r>
        <w:t xml:space="preserve">Follow the Next.js standard (section 4) and the CI/CD requirements in control 13: protected branches, peer review, least-privilege pipelines, separate environment secrets, and secret, dependency and SAST scanning on every pull request.</w:t>
      </w:r>
    </w:p>
    <w:p>
      <w:pPr>
        <w:pStyle w:val="Heading2"/>
      </w:pPr>
      <w:r>
        <w:t xml:space="preserve">Pre-release</w:t>
      </w:r>
    </w:p>
    <w:p>
      <w:r>
        <w:t xml:space="preserve">Targeted dynamic testing (DAST) where appropriate, API and access-control tests, header, CSP and cache review, DNS and email-record review, tag and pixel review, vendor review, a restore rehearsal, privacy and retention review, open-finding review, then sign-off at the production release gate (section 7).</w:t>
      </w:r>
    </w:p>
    <w:p>
      <w:pPr>
        <w:pStyle w:val="Heading2"/>
      </w:pPr>
      <w:r>
        <w:t xml:space="preserve">Operate</w:t>
      </w:r>
    </w:p>
    <w:p>
      <w:r>
        <w:t xml:space="preserve">Patch cadence (section 8), Next.js, React and Vercel security advisories, alert monitoring, quarterly access reviews, the vulnerability and incident workflows (section 5), restore tests and contractually agreed maintenance. Revisit the threat model after material changes.</w:t>
      </w:r>
    </w:p>
    <w:p>
      <w:pPr>
        <w:pStyle w:val="Heading1"/>
      </w:pPr>
      <w:r>
        <w:t xml:space="preserve">3. Control specification</w:t>
      </w:r>
    </w:p>
    <w:p>
      <w:r>
        <w:t xml:space="preserve">Each control states its objective, implementation requirements, how it is verified and what evidence closes it. Section 5 maps each control to its ASVS 5.0 chapters.</w:t>
      </w:r>
    </w:p>
    <w:p>
      <w:pPr>
        <w:pStyle w:val="Heading2"/>
        <w:keepNext/>
      </w:pPr>
      <w:r>
        <w:t xml:space="preserve">01  HTTPS and TLS</w:t>
      </w:r>
    </w:p>
    <w:p>
      <w:r>
        <w:rPr>
          <w:b/>
        </w:rPr>
        <w:t xml:space="preserve">Security objective:</w:t>
      </w:r>
      <w:r>
        <w:t xml:space="preserve"> Protect confidentiality and integrity in transit.</w:t>
      </w:r>
    </w:p>
    <w:p>
      <w:r>
        <w:rPr>
          <w:b/>
        </w:rPr>
        <w:t xml:space="preserve">Implementation requirements:</w:t>
      </w:r>
      <w:r>
        <w:t xml:space="preserve"> Force HTTPS on every production route; use modern TLS configurations and managed certificate renewal; redirect HTTP; avoid mixed content; apply HSTS after confirming subdomains and deployment readiness. Add CAA records limiting which certificate authorities can issue for the domain (control 18).</w:t>
      </w:r>
    </w:p>
    <w:p>
      <w:r>
        <w:rPr>
          <w:b/>
        </w:rPr>
        <w:t xml:space="preserve">Verification procedure:</w:t>
      </w:r>
      <w:r>
        <w:t xml:space="preserve"> Test redirect, certificate chain, expiry alerts, supported protocols, mixed content, HSTS and CAA.</w:t>
      </w:r>
    </w:p>
    <w:p>
      <w:r>
        <w:rPr>
          <w:b/>
        </w:rPr>
        <w:t xml:space="preserve">Acceptance evidence:</w:t>
      </w:r>
      <w:r>
        <w:t xml:space="preserve"> No sensitive production endpoint available over plaintext HTTP; certificate renewal monitored.</w:t>
      </w:r>
    </w:p>
    <w:p>
      <w:pPr>
        <w:pStyle w:val="Heading2"/>
        <w:keepNext/>
      </w:pPr>
      <w:r>
        <w:t xml:space="preserve">02  Authentication and account recovery</w:t>
      </w:r>
    </w:p>
    <w:p>
      <w:r>
        <w:rPr>
          <w:b/>
        </w:rPr>
        <w:t xml:space="preserve">Security objective:</w:t>
      </w:r>
      <w:r>
        <w:t xml:space="preserve"> Prevent account takeover and credential abuse, including through recovery.</w:t>
      </w:r>
    </w:p>
    <w:p>
      <w:r>
        <w:rPr>
          <w:b/>
        </w:rPr>
        <w:t xml:space="preserve">Implementation requirements:</w:t>
      </w:r>
      <w:r>
        <w:t xml:space="preserve"> Prefer mature identity libraries or providers (for example Auth.js, Clerk or the client's identity provider) over custom auth. Hash any locally stored passwords with Argon2id or appropriately configured bcrypt/scrypt. Use rate limiting, breached-password checks and neutral responses that don't reveal whether an account exists. Treat recovery as an authentication path, never a weaker one: single-use, time-limited reset and magic-link tokens; identity verification before an MFA reset; invalidate or re-evaluate existing sessions after credential recovery; notify the owner when the password, email, MFA or recovery factors change, with a way to report an unauthorised change; treat recovery codes as credentials (shown once, invalidated after use, regenerated after reset). Administrative recovery is logged against a named operator; shared support credentials are prohibited.</w:t>
      </w:r>
    </w:p>
    <w:p>
      <w:r>
        <w:rPr>
          <w:b/>
        </w:rPr>
        <w:t xml:space="preserve">Verification procedure:</w:t>
      </w:r>
      <w:r>
        <w:t xml:space="preserve"> Attempt brute force, enumeration, reset-token reuse and expiry, MFA-reset abuse, session survival after recovery and bypass scenarios.</w:t>
      </w:r>
    </w:p>
    <w:p>
      <w:r>
        <w:rPr>
          <w:b/>
        </w:rPr>
        <w:t xml:space="preserve">Acceptance evidence:</w:t>
      </w:r>
      <w:r>
        <w:t xml:space="preserve"> All auth and recovery endpoints enforce tested policies; no plaintext or reversible password storage; change notifications verified.</w:t>
      </w:r>
    </w:p>
    <w:p>
      <w:pPr>
        <w:pStyle w:val="Heading2"/>
        <w:keepNext/>
      </w:pPr>
      <w:r>
        <w:t xml:space="preserve">03  Multi-factor authentication and step-up</w:t>
      </w:r>
    </w:p>
    <w:p>
      <w:r>
        <w:rPr>
          <w:b/>
        </w:rPr>
        <w:t xml:space="preserve">Security objective:</w:t>
      </w:r>
      <w:r>
        <w:t xml:space="preserve"> Reduce risk from compromised credentials and protect high-risk actions.</w:t>
      </w:r>
    </w:p>
    <w:p>
      <w:r>
        <w:rPr>
          <w:b/>
        </w:rPr>
        <w:t xml:space="preserve">Implementation requirements:</w:t>
      </w:r>
      <w:r>
        <w:t xml:space="preserve"> Require MFA for every privileged account, not just application admins: hosting (Vercel team), registrar, DNS provider, GitHub, Google Workspace or Microsoft 365, CRM, Tag Manager, Meta Business Manager, payment provider and CMS. Prefer passkeys or other phishing-resistant MFA; avoid SMS where an alternative exists. Enforce MFA server-side. Require re-authentication or step-up for: adding or removing administrators or changing roles; changing email, password, MFA or recovery factors; creating, revealing or revoking API credentials; bulk export of personal or sensitive information; changing payment or payout details; changing security, domain, integration or tenant settings; deleting a tenant, account or dataset; and approving a consequential AI or tool action.</w:t>
      </w:r>
    </w:p>
    <w:p>
      <w:r>
        <w:rPr>
          <w:b/>
        </w:rPr>
        <w:t xml:space="preserve">Verification procedure:</w:t>
      </w:r>
      <w:r>
        <w:t xml:space="preserve"> Try privileged access without a second factor, backup-code reuse and each step-up action without re-authentication. Audit every infrastructure account for MFA status.</w:t>
      </w:r>
    </w:p>
    <w:p>
      <w:r>
        <w:rPr>
          <w:b/>
        </w:rPr>
        <w:t xml:space="preserve">Acceptance evidence:</w:t>
      </w:r>
      <w:r>
        <w:t xml:space="preserve"> Privileged access and step-up actions cannot bypass MFA; MFA status recorded for every account in the access register (control 17).</w:t>
      </w:r>
    </w:p>
    <w:p>
      <w:pPr>
        <w:pStyle w:val="Heading2"/>
        <w:keepNext/>
      </w:pPr>
      <w:r>
        <w:t xml:space="preserve">04  Authorisation and least privilege</w:t>
      </w:r>
    </w:p>
    <w:p>
      <w:r>
        <w:rPr>
          <w:b/>
        </w:rPr>
        <w:t xml:space="preserve">Security objective:</w:t>
      </w:r>
      <w:r>
        <w:t xml:space="preserve"> Prevent users accessing other users' data or functions.</w:t>
      </w:r>
    </w:p>
    <w:p>
      <w:r>
        <w:rPr>
          <w:b/>
        </w:rPr>
        <w:t xml:space="preserve">Implementation requirements:</w:t>
      </w:r>
      <w:r>
        <w:t xml:space="preserve"> Deny by default; enforce checks on every server request and object; use tenant isolation; restrict database and service identities; never rely on hidden UI controls. Maintain a permissions matrix (Appendix A) for any application with more than one role, covering create, read, update, delete and admin/export at resource and, where needed, field level. Every allowed and denied cell that matters to security has a server-side test or documented manual verification; UI visibility is never accepted as evidence. In Next.js, every Server Action and Route Handler is a public endpoint and must check authentication and authorisation itself. Middleware (proxy.ts from Next.js 16) may redirect for convenience but must never be the only access check. Centralise checks in a server-only data access layer (section 4).</w:t>
      </w:r>
    </w:p>
    <w:p>
      <w:r>
        <w:rPr>
          <w:b/>
        </w:rPr>
        <w:t xml:space="preserve">Verification procedure:</w:t>
      </w:r>
      <w:r>
        <w:t xml:space="preserve"> Test IDOR/BOLA, horizontal and vertical privilege escalation, cross-tenant reads and writes, direct calls to Server Actions and Route Handlers, and requests that bypass middleware.</w:t>
      </w:r>
    </w:p>
    <w:p>
      <w:r>
        <w:rPr>
          <w:b/>
        </w:rPr>
        <w:t xml:space="preserve">Acceptance evidence:</w:t>
      </w:r>
      <w:r>
        <w:t xml:space="preserve"> Permissions matrix tested; unauthorised access fails server-side and is logged appropriately.</w:t>
      </w:r>
    </w:p>
    <w:p>
      <w:pPr>
        <w:pStyle w:val="Heading2"/>
        <w:keepNext/>
      </w:pPr>
      <w:r>
        <w:t xml:space="preserve">05  Input validation and file handling</w:t>
      </w:r>
    </w:p>
    <w:p>
      <w:r>
        <w:rPr>
          <w:b/>
        </w:rPr>
        <w:t xml:space="preserve">Security objective:</w:t>
      </w:r>
      <w:r>
        <w:t xml:space="preserve"> Treat all external data and files as untrusted.</w:t>
      </w:r>
    </w:p>
    <w:p>
      <w:r>
        <w:rPr>
          <w:b/>
        </w:rPr>
        <w:t xml:space="preserve">Implementation requirements:</w:t>
      </w:r>
      <w:r>
        <w:t xml:space="preserve"> Validate type, size, format and allowed values at trust boundaries using a schema library (for example Zod) inside every Server Action and Route Handler; normalise carefully. For uploads: an explicit extension allowlist, MIME and magic-byte content checks, generated storage names, private object storage outside executable and web roots, per-user quotas and authorised download handlers. Malware scanning is mandatory for Tier C and for any file later opened by staff, shared with another user or processed by another system. Re-process images and documents where appropriate, and defend against archive bombs, decompression limits and path traversal. Fail closed: if validation, an auth check or a downstream service errors, deny the request.</w:t>
      </w:r>
    </w:p>
    <w:p>
      <w:r>
        <w:rPr>
          <w:b/>
        </w:rPr>
        <w:t xml:space="preserve">Verification procedure:</w:t>
      </w:r>
      <w:r>
        <w:t xml:space="preserve"> Fuzz inputs; test malformed JSON, oversized payloads, disguised and malicious files, archive bombs, path traversal, bypass of client validation and behaviour when dependencies fail.</w:t>
      </w:r>
    </w:p>
    <w:p>
      <w:r>
        <w:rPr>
          <w:b/>
        </w:rPr>
        <w:t xml:space="preserve">Acceptance evidence:</w:t>
      </w:r>
      <w:r>
        <w:t xml:space="preserve"> Invalid requests and files are rejected safely without revealing internals; failures default to deny.</w:t>
      </w:r>
    </w:p>
    <w:p>
      <w:pPr>
        <w:pStyle w:val="Heading2"/>
        <w:keepNext/>
      </w:pPr>
      <w:r>
        <w:t xml:space="preserve">06  Injection and interpreter safety</w:t>
      </w:r>
    </w:p>
    <w:p>
      <w:r>
        <w:rPr>
          <w:b/>
        </w:rPr>
        <w:t xml:space="preserve">Security objective:</w:t>
      </w:r>
      <w:r>
        <w:t xml:space="preserve"> Prevent untrusted input changing the meaning of database, operating-system, template, expression or other interpreter commands.</w:t>
      </w:r>
    </w:p>
    <w:p>
      <w:r>
        <w:rPr>
          <w:b/>
        </w:rPr>
        <w:t xml:space="preserve">Implementation requirements:</w:t>
      </w:r>
      <w:r>
        <w:t xml:space="preserve"> Use parameterised queries or safe ORM APIs (for example Prisma or Drizzle query builders); avoid raw query helpers with string interpolation; allowlist identifiers such as sort columns; use database accounts with minimal privileges. Apply equivalent protections to NoSQL, GraphQL resolver filters, LDAP, XPath, OS commands, template and expression engines and regular expressions. Never pass user input to a shell or dynamic code execution; where an interpreter is unavoidable, use safe APIs, fixed commands or templates and strict allowlists. Neutralise spreadsheet formula injection (values starting with =, +, - or @) before CSV or XLSX export.</w:t>
      </w:r>
    </w:p>
    <w:p>
      <w:r>
        <w:rPr>
          <w:b/>
        </w:rPr>
        <w:t xml:space="preserve">Verification procedure:</w:t>
      </w:r>
      <w:r>
        <w:t xml:space="preserve"> Test query parameters, sort and filter identifiers, shell metacharacters, path and template contexts, expression languages, regex edge cases and formula injection. Review all raw query, command-execution, template and dynamic-evaluation code.</w:t>
      </w:r>
    </w:p>
    <w:p>
      <w:r>
        <w:rPr>
          <w:b/>
        </w:rPr>
        <w:t xml:space="preserve">Acceptance evidence:</w:t>
      </w:r>
      <w:r>
        <w:t xml:space="preserve"> No user-controlled data can alter interpreter syntax; unavoidable interpreter boundaries have documented controls.</w:t>
      </w:r>
    </w:p>
    <w:p>
      <w:pPr>
        <w:pStyle w:val="Heading2"/>
        <w:keepNext/>
      </w:pPr>
      <w:r>
        <w:t xml:space="preserve">07  Cross-site scripting defence</w:t>
      </w:r>
    </w:p>
    <w:p>
      <w:r>
        <w:rPr>
          <w:b/>
        </w:rPr>
        <w:t xml:space="preserve">Security objective:</w:t>
      </w:r>
      <w:r>
        <w:t xml:space="preserve"> Prevent attacker-controlled script execution.</w:t>
      </w:r>
    </w:p>
    <w:p>
      <w:r>
        <w:rPr>
          <w:b/>
        </w:rPr>
        <w:t xml:space="preserve">Implementation requirements:</w:t>
      </w:r>
      <w:r>
        <w:t xml:space="preserve"> Rely on React's auto-escaping; avoid dangerouslySetInnerHTML, and where rich text is unavoidable sanitise it server-side with a maintained library (for example DOMPurify); validate URLs used in href and src to block javascript: links; avoid unsafe DOM sinks; use a restrictive CSP as defence-in-depth (control 11).</w:t>
      </w:r>
    </w:p>
    <w:p>
      <w:r>
        <w:rPr>
          <w:b/>
        </w:rPr>
        <w:t xml:space="preserve">Verification procedure:</w:t>
      </w:r>
      <w:r>
        <w:t xml:space="preserve"> Test reflected, stored and DOM XSS in forms, admin views, CMS rich text, markdown rendering and query strings.</w:t>
      </w:r>
    </w:p>
    <w:p>
      <w:r>
        <w:rPr>
          <w:b/>
        </w:rPr>
        <w:t xml:space="preserve">Acceptance evidence:</w:t>
      </w:r>
      <w:r>
        <w:t xml:space="preserve"> Untrusted content renders as data, not executable script.</w:t>
      </w:r>
    </w:p>
    <w:p>
      <w:pPr>
        <w:pStyle w:val="Heading2"/>
        <w:keepNext/>
      </w:pPr>
      <w:r>
        <w:t xml:space="preserve">08  CSRF and cross-origin protection</w:t>
      </w:r>
    </w:p>
    <w:p>
      <w:r>
        <w:rPr>
          <w:b/>
        </w:rPr>
        <w:t xml:space="preserve">Security objective:</w:t>
      </w:r>
      <w:r>
        <w:t xml:space="preserve"> Prevent unwanted state changes from authenticated browsers.</w:t>
      </w:r>
    </w:p>
    <w:p>
      <w:r>
        <w:rPr>
          <w:b/>
        </w:rPr>
        <w:t xml:space="preserve">Implementation requirements:</w:t>
      </w:r>
      <w:r>
        <w:t xml:space="preserve"> Next.js Server Actions accept POST only and compare the Origin header with the host; keep that protection and configure serverActions.allowedOrigins narrowly if a proxy is used. For cookie-authenticated Route Handlers that change state, use anti-CSRF tokens or robust same-origin checks; use SameSite cookies; configure CORS narrowly; never assume CORS alone prevents CSRF.</w:t>
      </w:r>
    </w:p>
    <w:p>
      <w:r>
        <w:rPr>
          <w:b/>
        </w:rPr>
        <w:t xml:space="preserve">Verification procedure:</w:t>
      </w:r>
      <w:r>
        <w:t xml:space="preserve"> Test forged POST, PUT and DELETE requests, missing tokens, cross-origin requests and cookie behaviour.</w:t>
      </w:r>
    </w:p>
    <w:p>
      <w:r>
        <w:rPr>
          <w:b/>
        </w:rPr>
        <w:t xml:space="preserve">Acceptance evidence:</w:t>
      </w:r>
      <w:r>
        <w:t xml:space="preserve"> Cross-site forged state-changing requests are rejected.</w:t>
      </w:r>
    </w:p>
    <w:p>
      <w:pPr>
        <w:pStyle w:val="Heading2"/>
        <w:keepNext/>
      </w:pPr>
      <w:r>
        <w:t xml:space="preserve">09  Session and cookie security</w:t>
      </w:r>
    </w:p>
    <w:p>
      <w:r>
        <w:rPr>
          <w:b/>
        </w:rPr>
        <w:t xml:space="preserve">Security objective:</w:t>
      </w:r>
      <w:r>
        <w:t xml:space="preserve"> Protect authenticated sessions.</w:t>
      </w:r>
    </w:p>
    <w:p>
      <w:r>
        <w:rPr>
          <w:b/>
        </w:rPr>
        <w:t xml:space="preserve">Implementation requirements:</w:t>
      </w:r>
      <w:r>
        <w:t xml:space="preserve"> Use Secure, HttpOnly and appropriate SameSite cookies with the __Host- prefix where possible; rotate session IDs at login and privilege changes; enforce idle and absolute expiry; revoke on logout and after credential recovery (control 02); never put tokens in URLs; avoid localStorage for high-value bearer tokens. Where self-contained tokens (JWTs) are used, validate signature, algorithm, issuer, audience and expiry, and keep lifetimes short.</w:t>
      </w:r>
    </w:p>
    <w:p>
      <w:r>
        <w:rPr>
          <w:b/>
        </w:rPr>
        <w:t xml:space="preserve">Verification procedure:</w:t>
      </w:r>
      <w:r>
        <w:t xml:space="preserve"> Check fixation, logout and recovery revocation, expiry, token validation, token leakage and cookie attributes.</w:t>
      </w:r>
    </w:p>
    <w:p>
      <w:r>
        <w:rPr>
          <w:b/>
        </w:rPr>
        <w:t xml:space="preserve">Acceptance evidence:</w:t>
      </w:r>
      <w:r>
        <w:t xml:space="preserve"> Sessions expire and revoke as designed; no sensitive session token exposed to scripts where avoidable.</w:t>
      </w:r>
    </w:p>
    <w:p>
      <w:pPr>
        <w:pStyle w:val="Heading2"/>
        <w:keepNext/>
      </w:pPr>
      <w:r>
        <w:t xml:space="preserve">10  Encryption, secrets and key management</w:t>
      </w:r>
    </w:p>
    <w:p>
      <w:r>
        <w:rPr>
          <w:b/>
        </w:rPr>
        <w:t xml:space="preserve">Security objective:</w:t>
      </w:r>
      <w:r>
        <w:t xml:space="preserve"> Protect stored sensitive data, secrets and keys.</w:t>
      </w:r>
    </w:p>
    <w:p>
      <w:r>
        <w:rPr>
          <w:b/>
        </w:rPr>
        <w:t xml:space="preserve">Implementation requirements:</w:t>
      </w:r>
      <w:r>
        <w:t xml:space="preserve"> Use managed encryption at rest; minimise sensitive fields; keep secrets in the hosting provider's encrypted environment variables or a secrets manager, scoped separately for production, preview and development; rotate and scope secrets; never commit credentials. In Next.js, any variable prefixed NEXT_PUBLIC_ is shipped to the browser, so it must never hold a secret; import the server-only package in modules that touch secrets. Redact sensitive logs. For Tier B/C, keep a cryptographic-use inventory recording each key's purpose, algorithm, owner, storage, rotation and revocation process and recovery needs. Prefer provider-managed encryption and KMS over custom cryptography; use established libraries; separate encryption, signing and authentication keys; restrict which people and services can use each key. Make sure key rotation can't make required historical data unrecoverable unless that is the intended deletion mechanism.</w:t>
      </w:r>
    </w:p>
    <w:p>
      <w:r>
        <w:rPr>
          <w:b/>
        </w:rPr>
        <w:t xml:space="preserve">Verification procedure:</w:t>
      </w:r>
      <w:r>
        <w:t xml:space="preserve"> Scan the repository, build output and client bundles for secrets; confirm no secret uses a NEXT_PUBLIC_ name; verify storage encryption, key permissions and the rotation procedure.</w:t>
      </w:r>
    </w:p>
    <w:p>
      <w:r>
        <w:rPr>
          <w:b/>
        </w:rPr>
        <w:t xml:space="preserve">Acceptance evidence:</w:t>
      </w:r>
      <w:r>
        <w:t xml:space="preserve"> Secrets absent from source, client bundles and logs; preview environments hold no production secrets; key inventory current for Tier B/C.</w:t>
      </w:r>
    </w:p>
    <w:p>
      <w:pPr>
        <w:pStyle w:val="Heading2"/>
        <w:keepNext/>
      </w:pPr>
      <w:r>
        <w:t xml:space="preserve">11  Browser security headers</w:t>
      </w:r>
    </w:p>
    <w:p>
      <w:r>
        <w:rPr>
          <w:b/>
        </w:rPr>
        <w:t xml:space="preserve">Security objective:</w:t>
      </w:r>
      <w:r>
        <w:t xml:space="preserve"> Reduce browser exploitation surface.</w:t>
      </w:r>
    </w:p>
    <w:p>
      <w:r>
        <w:rPr>
          <w:b/>
        </w:rPr>
        <w:t xml:space="preserve">Implementation requirements:</w:t>
      </w:r>
      <w:r>
        <w:t xml:space="preserve"> Set headers in next.config.js or middleware/proxy: Content-Security-Policy, Strict-Transport-Security, X-Content-Type-Options: nosniff, Referrer-Policy (strict-origin-when-cross-origin), frame-ancestors and an appropriate Permissions-Policy. Turn off X-Powered-By (poweredByHeader: false). Be realistic about CSP: a strict nonce-based policy forces dynamic rendering in Next.js and conflicts with tag managers. For Tier A and most Tier B marketing sites, an allowlist-based CSP restricting frame-ancestors, object-src, base-uri and form-action is acceptable. Use a nonce-based CSP for Tier C and authenticated areas. Always start in Report-Only mode.</w:t>
      </w:r>
    </w:p>
    <w:p>
      <w:r>
        <w:rPr>
          <w:b/>
        </w:rPr>
        <w:t xml:space="preserve">Verification procedure:</w:t>
      </w:r>
      <w:r>
        <w:t xml:space="preserve"> Inspect live response headers and CSP reports; test embedding and blocked scripts.</w:t>
      </w:r>
    </w:p>
    <w:p>
      <w:r>
        <w:rPr>
          <w:b/>
        </w:rPr>
        <w:t xml:space="preserve">Acceptance evidence:</w:t>
      </w:r>
      <w:r>
        <w:t xml:space="preserve"> Production headers documented and applied without breaking legitimate functionality; CSP approach recorded against the tier.</w:t>
      </w:r>
    </w:p>
    <w:p>
      <w:pPr>
        <w:pStyle w:val="Heading2"/>
        <w:keepNext/>
      </w:pPr>
      <w:r>
        <w:t xml:space="preserve">12  API, integration and outbound request security</w:t>
      </w:r>
    </w:p>
    <w:p>
      <w:r>
        <w:rPr>
          <w:b/>
        </w:rPr>
        <w:t xml:space="preserve">Security objective:</w:t>
      </w:r>
      <w:r>
        <w:t xml:space="preserve"> Protect endpoints, third-party connections and the server's own outbound requests.</w:t>
      </w:r>
    </w:p>
    <w:p>
      <w:r>
        <w:rPr>
          <w:b/>
        </w:rPr>
        <w:t xml:space="preserve">Implementation requirements:</w:t>
      </w:r>
      <w:r>
        <w:t xml:space="preserve"> Authenticate and authorise every API operation; validate payloads; rate-limit abusive calls; use short-lived, scoped credentials and separate low-privilege service credentials per integration; verify webhook signatures and replay windows; prevent mass assignment by mapping input to explicit fields; never expose CRM, email or payment keys in client code. Defend against SSRF: default to fixed outbound destinations; accept user-supplied URLs only with a documented need; allow only required schemes (normally HTTPS); restrict or revalidate redirects; set connection timeouts and response-size limits; block localhost, private, link-local and cloud-metadata destinations unless explicitly needed; consider DNS rebinding for higher-risk fetchers; never put secrets in user-controlled headers or URLs; restrict next/image remotePatterns to known hosts.</w:t>
      </w:r>
    </w:p>
    <w:p>
      <w:r>
        <w:rPr>
          <w:b/>
        </w:rPr>
        <w:t xml:space="preserve">Verification procedure:</w:t>
      </w:r>
      <w:r>
        <w:t xml:space="preserve"> Test BOLA, unauthenticated routes, mass assignment, rate limits, webhook forgery, SSRF (including redirects and internal addresses) and API error leakage.</w:t>
      </w:r>
    </w:p>
    <w:p>
      <w:r>
        <w:rPr>
          <w:b/>
        </w:rPr>
        <w:t xml:space="preserve">Acceptance evidence:</w:t>
      </w:r>
      <w:r>
        <w:t xml:space="preserve"> Each integration has an owner, minimal permissions and a validated trust boundary; SSRF tests recorded where outbound fetching exists.</w:t>
      </w:r>
    </w:p>
    <w:p>
      <w:pPr>
        <w:pStyle w:val="Heading2"/>
        <w:keepNext/>
      </w:pPr>
      <w:r>
        <w:t xml:space="preserve">13  Dependencies, CI/CD and supply chain</w:t>
      </w:r>
    </w:p>
    <w:p>
      <w:r>
        <w:rPr>
          <w:b/>
        </w:rPr>
        <w:t xml:space="preserve">Security objective:</w:t>
      </w:r>
      <w:r>
        <w:t xml:space="preserve"> Prevent compromise through packages, build tools and the delivery pipeline.</w:t>
      </w:r>
    </w:p>
    <w:p>
      <w:r>
        <w:rPr>
          <w:b/>
        </w:rPr>
        <w:t xml:space="preserve">Implementation requirements:</w:t>
      </w:r>
      <w:r>
        <w:t xml:space="preserve"> Dependencies: lockfiles; supported Node.js and Next.js versions; automated alerts (Dependabot or Renovate); licence review; review new packages for necessity, maintenance, ownership and look-alike names. Subscribe to Next.js and React advisories and treat framework vulnerabilities as critical: in 2025 a middleware authorisation bypass (CVE-2025-29927) and a critical remote code execution flaw in React Server Components (CVE-2025-55182, "React2Shell") both required urgent patching. Pipeline: protect the production branch and require pull requests with at least one reviewer for Tier B/C; named accounts with MFA; read-only default workflow permissions with write scopes granted per job; pin third-party CI actions to a commit SHA; prefer OIDC or platform-native short-lived deployment identity over long-lived tokens; keep build logs and artefacts free of secrets and treat caches and artefacts as sensitive; restrict production deployment environments, with approval gates for Tier C. Run secret, dependency and SAST scanning on pull requests; critical findings block release unless formally accepted. Generate an SBOM where section 1 requires one, and prefer provenance-aware artefacts where the platform supports them.</w:t>
      </w:r>
    </w:p>
    <w:p>
      <w:r>
        <w:rPr>
          <w:b/>
        </w:rPr>
        <w:t xml:space="preserve">Verification procedure:</w:t>
      </w:r>
      <w:r>
        <w:t xml:space="preserve"> Review branch protection, workflow permissions, pinned actions, deployment identity, scan results, abandoned packages and the Next.js version against current advisories.</w:t>
      </w:r>
    </w:p>
    <w:p>
      <w:r>
        <w:rPr>
          <w:b/>
        </w:rPr>
        <w:t xml:space="preserve">Acceptance evidence:</w:t>
      </w:r>
      <w:r>
        <w:t xml:space="preserve"> No unaccepted critical known vulnerability at release; framework patches applied within section 8 targets; CI/CD evidence recorded (Appendix A).</w:t>
      </w:r>
    </w:p>
    <w:p>
      <w:pPr>
        <w:pStyle w:val="Heading2"/>
        <w:keepNext/>
      </w:pPr>
      <w:r>
        <w:t xml:space="preserve">14  Hosting, deployment and caching</w:t>
      </w:r>
    </w:p>
    <w:p>
      <w:r>
        <w:rPr>
          <w:b/>
        </w:rPr>
        <w:t xml:space="preserve">Security objective:</w:t>
      </w:r>
      <w:r>
        <w:t xml:space="preserve"> Limit infrastructure compromise, lateral movement and data leaking through caches.</w:t>
      </w:r>
    </w:p>
    <w:p>
      <w:r>
        <w:rPr>
          <w:b/>
        </w:rPr>
        <w:t xml:space="preserve">Implementation requirements:</w:t>
      </w:r>
      <w:r>
        <w:t xml:space="preserve"> Separate production and preview environments; protect preview deployments (for example Vercel Deployment Protection) so they aren't indexable or able to reach production data; least-privilege team roles; private databases; managed WAF or firewall rules where justified; secure object storage; immutable deployments and tested rollback. Disable production browser source maps, debug output and directory listings. Protect draft-mode and on-demand revalidation endpoints with secrets. Caching: authenticated or user-specific content never enters a shared cache unless safely partitioned; set deliberate Cache-Control on sensitive responses and verify platform defaults; keep tokens, form data and personal information out of URLs and cache keys; retest caching after changes to rendering, cache configuration, middleware/proxy, CDN rules or authentication.</w:t>
      </w:r>
    </w:p>
    <w:p>
      <w:r>
        <w:rPr>
          <w:b/>
        </w:rPr>
        <w:t xml:space="preserve">Verification procedure:</w:t>
      </w:r>
      <w:r>
        <w:t xml:space="preserve"> Review team roles, public storage, database exposure, preview access, configuration drift, production debug flags and cache behaviour for authenticated responses.</w:t>
      </w:r>
    </w:p>
    <w:p>
      <w:r>
        <w:rPr>
          <w:b/>
        </w:rPr>
        <w:t xml:space="preserve">Acceptance evidence:</w:t>
      </w:r>
      <w:r>
        <w:t xml:space="preserve"> Only intended services exposed; previews protected; no user-specific data in shared caches; deploy and rollback documented.</w:t>
      </w:r>
    </w:p>
    <w:p>
      <w:pPr>
        <w:pStyle w:val="Heading2"/>
        <w:keepNext/>
      </w:pPr>
      <w:r>
        <w:t xml:space="preserve">15  Logging, error handling and detection</w:t>
      </w:r>
    </w:p>
    <w:p>
      <w:r>
        <w:rPr>
          <w:b/>
        </w:rPr>
        <w:t xml:space="preserve">Security objective:</w:t>
      </w:r>
      <w:r>
        <w:t xml:space="preserve"> Detect and investigate suspicious activity, and fail safely.</w:t>
      </w:r>
    </w:p>
    <w:p>
      <w:r>
        <w:rPr>
          <w:b/>
        </w:rPr>
        <w:t xml:space="preserve">Implementation requirements:</w:t>
      </w:r>
      <w:r>
        <w:t xml:space="preserve"> Log authentication, privilege changes, sensitive operations and security failures with timestamps and correlation IDs; centralise logs, restrict access, define retention and alerts; never log passwords, tokens, form free text or unnecessary personal information. Handle errors deliberately: error boundaries (error.tsx) show generic messages, responses never include stack traces or internals, and unexpected exceptions leave the system in a safe state (OWASP Top 10:2025 A10). Feed detected events into the incident workflow (section 5).</w:t>
      </w:r>
    </w:p>
    <w:p>
      <w:r>
        <w:rPr>
          <w:b/>
        </w:rPr>
        <w:t xml:space="preserve">Verification procedure:</w:t>
      </w:r>
      <w:r>
        <w:t xml:space="preserve"> Trigger failed-login, authorisation and unhandled-error events; verify alert routing, access, log redaction and the error responses users see.</w:t>
      </w:r>
    </w:p>
    <w:p>
      <w:r>
        <w:rPr>
          <w:b/>
        </w:rPr>
        <w:t xml:space="preserve">Acceptance evidence:</w:t>
      </w:r>
      <w:r>
        <w:t xml:space="preserve"> Security events observable; errors reveal nothing internal; responsible person and response path documented.</w:t>
      </w:r>
    </w:p>
    <w:p>
      <w:pPr>
        <w:pStyle w:val="Heading2"/>
        <w:keepNext/>
      </w:pPr>
      <w:r>
        <w:t xml:space="preserve">16  Security testing, backup and recovery</w:t>
      </w:r>
    </w:p>
    <w:p>
      <w:r>
        <w:rPr>
          <w:b/>
        </w:rPr>
        <w:t xml:space="preserve">Security objective:</w:t>
      </w:r>
      <w:r>
        <w:t xml:space="preserve"> Find defects and restore service after incidents.</w:t>
      </w:r>
    </w:p>
    <w:p>
      <w:r>
        <w:rPr>
          <w:b/>
        </w:rPr>
        <w:t xml:space="preserve">Implementation requirements:</w:t>
      </w:r>
      <w:r>
        <w:t xml:space="preserve"> Use code review, SAST, secret scanning, dependency scans, targeted DAST and penetration tests by tier (section 1). Back up databases, CMS content, environment configuration and DNS zone records with encryption, retention and separation; define RPO and RTO; rehearse restores; retest after significant changes. Tier C backups need an isolation or immutability measure so that compromised production credentials cannot delete both the live environment and every recoverable copy. Findings follow the vulnerability workflow (section 5).</w:t>
      </w:r>
    </w:p>
    <w:p>
      <w:r>
        <w:rPr>
          <w:b/>
        </w:rPr>
        <w:t xml:space="preserve">Verification procedure:</w:t>
      </w:r>
      <w:r>
        <w:t xml:space="preserve"> Record scan results, remediation, independent review, restore logs and recovery time.</w:t>
      </w:r>
    </w:p>
    <w:p>
      <w:r>
        <w:rPr>
          <w:b/>
        </w:rPr>
        <w:t xml:space="preserve">Acceptance evidence:</w:t>
      </w:r>
      <w:r>
        <w:t xml:space="preserve"> Critical and high findings resolved or formally accepted; backups recover within agreed objectives; Tier C isolation confirmed.</w:t>
      </w:r>
    </w:p>
    <w:p>
      <w:pPr>
        <w:pStyle w:val="Heading2"/>
        <w:keepNext/>
      </w:pPr>
      <w:r>
        <w:t xml:space="preserve">17  Agency access and credential management</w:t>
      </w:r>
    </w:p>
    <w:p>
      <w:r>
        <w:rPr>
          <w:b/>
        </w:rPr>
        <w:t xml:space="preserve">Security objective:</w:t>
      </w:r>
      <w:r>
        <w:t xml:space="preserve"> Stop ITWM itself becoming the way into a client's systems.</w:t>
      </w:r>
    </w:p>
    <w:p>
      <w:r>
        <w:rPr>
          <w:b/>
        </w:rPr>
        <w:t xml:space="preserve">Implementation requirements:</w:t>
      </w:r>
      <w:r>
        <w:t xml:space="preserve"> Clients own their accounts (registrar, DNS, hosting team, GitHub organisation, Tag Manager, analytics, ad accounts, CRM) and add ITWM as a delegated user; ITWM never registers client assets in its own name. Use a business password manager with a separate shared vault per client. No shared logins: every person has a named account with MFA (control 03). Keep an access register of who has access to what, at what role. Remove a departing staff member's or contractor's access, including repository and CI access, within one business day. Review access quarterly. ITWM laptops and accounts follow the relevant ACSC Essential Eight mitigations, at minimum patching, MFA, restricted admin rights and backups. Transfer credentials only through the password manager, never by email or chat.</w:t>
      </w:r>
    </w:p>
    <w:p>
      <w:r>
        <w:rPr>
          <w:b/>
        </w:rPr>
        <w:t xml:space="preserve">Verification procedure:</w:t>
      </w:r>
      <w:r>
        <w:t xml:space="preserve"> Sample the access register against live accounts; confirm offboarding times; check MFA coverage; confirm client ownership of each asset.</w:t>
      </w:r>
    </w:p>
    <w:p>
      <w:r>
        <w:rPr>
          <w:b/>
        </w:rPr>
        <w:t xml:space="preserve">Acceptance evidence:</w:t>
      </w:r>
      <w:r>
        <w:t xml:space="preserve"> Current access register; every client asset owned by the client; no orphaned accounts.</w:t>
      </w:r>
    </w:p>
    <w:p>
      <w:pPr>
        <w:pStyle w:val="Heading2"/>
        <w:keepNext/>
      </w:pPr>
      <w:r>
        <w:t xml:space="preserve">18  Domain, DNS and email authentication</w:t>
      </w:r>
    </w:p>
    <w:p>
      <w:r>
        <w:rPr>
          <w:b/>
        </w:rPr>
        <w:t xml:space="preserve">Security objective:</w:t>
      </w:r>
      <w:r>
        <w:t xml:space="preserve"> Prevent domain hijacking, subdomain takeover and email spoofing.</w:t>
      </w:r>
    </w:p>
    <w:p>
      <w:r>
        <w:rPr>
          <w:b/>
        </w:rPr>
        <w:t xml:space="preserve">Implementation requirements:</w:t>
      </w:r>
      <w:r>
        <w:t xml:space="preserve"> Registrar: client-owned account, MFA, registrar lock (registry lock for high-value domains), auto-renew, current contacts. DNS: restrict who can edit; enable DNSSEC where supported; publish CAA records; remove dangling records pointing at decommissioned services (for example an old Vercel, Netlify or Heroku project). Email: SPF and DKIM for every service sending as the domain, including the website's form mailer; move DMARC from p=none through quarantine to p=reject once reports are clean; parked or non-sending domains get a null SPF and p=reject. For professional services clients, spoofed email and payment-redirection fraud are a bigger real-world risk than most application flaws.</w:t>
      </w:r>
    </w:p>
    <w:p>
      <w:r>
        <w:rPr>
          <w:b/>
        </w:rPr>
        <w:t xml:space="preserve">Verification procedure:</w:t>
      </w:r>
      <w:r>
        <w:t xml:space="preserve"> Check registrar lock and MFA; enumerate DNS for dangling targets; test SPF, DKIM and DMARC alignment; review DMARC aggregate reports.</w:t>
      </w:r>
    </w:p>
    <w:p>
      <w:r>
        <w:rPr>
          <w:b/>
        </w:rPr>
        <w:t xml:space="preserve">Acceptance evidence:</w:t>
      </w:r>
      <w:r>
        <w:t xml:space="preserve"> Domain locked and client-owned; no dangling records; DMARC at quarantine or reject, or a dated plan to get there.</w:t>
      </w:r>
    </w:p>
    <w:p>
      <w:pPr>
        <w:pStyle w:val="Heading2"/>
        <w:keepNext/>
      </w:pPr>
      <w:r>
        <w:t xml:space="preserve">19  Forms, lead data and outbound email</w:t>
      </w:r>
    </w:p>
    <w:p>
      <w:r>
        <w:rPr>
          <w:b/>
        </w:rPr>
        <w:t xml:space="preserve">Security objective:</w:t>
      </w:r>
      <w:r>
        <w:t xml:space="preserve"> Protect enquiry data from collection to deletion, and keep the site's own emails safe.</w:t>
      </w:r>
    </w:p>
    <w:p>
      <w:r>
        <w:rPr>
          <w:b/>
        </w:rPr>
        <w:t xml:space="preserve">Implementation requirements:</w:t>
      </w:r>
      <w:r>
        <w:t xml:space="preserve"> Collect only what the client needs (privacy-by-design gate, section 5); replace free text with structured fields where possible, and warn users not to include sensitive details if free text stays. Use bot protection (for example Cloudflare Turnstile or a honeypot plus rate limiting). Validate server-side (control 05). Don't email full submissions: send a notification linking to the CRM or a secured inbox. Neutralise formula injection before export (control 06). Agree CRM retention and deletion with the client. Show a collection notice and privacy policy link at the point of collection. Keep form data out of URLs and analytics events. Outbound email: send from controlled, SPF/DKIM/DMARC-aligned domains (control 18); never let user input control mail headers; encode template variables for the email format; make unsubscribe and other action links unguessable and unable to perform unauthorised actions.</w:t>
      </w:r>
    </w:p>
    <w:p>
      <w:r>
        <w:rPr>
          <w:b/>
        </w:rPr>
        <w:t xml:space="preserve">Verification procedure:</w:t>
      </w:r>
      <w:r>
        <w:t xml:space="preserve"> Submit spam, oversized, scripted, header-injection and formula-injection payloads; check what notification emails contain; confirm no form values appear in URLs, analytics or pixel payloads.</w:t>
      </w:r>
    </w:p>
    <w:p>
      <w:r>
        <w:rPr>
          <w:b/>
        </w:rPr>
        <w:t xml:space="preserve">Acceptance evidence:</w:t>
      </w:r>
      <w:r>
        <w:t xml:space="preserve"> Bot protection active; notification emails carry no sensitive content; retention agreed; collection notice live.</w:t>
      </w:r>
    </w:p>
    <w:p>
      <w:pPr>
        <w:pStyle w:val="Heading2"/>
        <w:keepNext/>
      </w:pPr>
      <w:r>
        <w:t xml:space="preserve">20  Third-party scripts, tags and tracking</w:t>
      </w:r>
    </w:p>
    <w:p>
      <w:r>
        <w:rPr>
          <w:b/>
        </w:rPr>
        <w:t xml:space="preserve">Security objective:</w:t>
      </w:r>
      <w:r>
        <w:t xml:space="preserve"> Control code you don't write and data you don't intend to share.</w:t>
      </w:r>
    </w:p>
    <w:p>
      <w:r>
        <w:rPr>
          <w:b/>
        </w:rPr>
        <w:t xml:space="preserve">Implementation requirements:</w:t>
      </w:r>
      <w:r>
        <w:t xml:space="preserve"> Keep a tag inventory for each site: every script, pixel, widget and Tag Manager tag, with its purpose, owner and the data it receives. Limit Tag Manager publish rights to named people with MFA, and review container changes before publishing. Load third-party scripts with next/script and the least eager strategy that works. Don't let pixels (Meta, LinkedIn, Google Ads) see form values, URL parameters containing personal information or pages that reveal a sensitive service (for example a family law or debt-help page). Configure enhanced conversions and the Conversions API to send hashed, minimised data only, with the client's informed approval. Use Subresource Integrity for static third-party files where supported. Remove unused tags at each review. Tags that receive Confidential data need a vendor assessment (section 5).</w:t>
      </w:r>
    </w:p>
    <w:p>
      <w:r>
        <w:rPr>
          <w:b/>
        </w:rPr>
        <w:t xml:space="preserve">Verification procedure:</w:t>
      </w:r>
      <w:r>
        <w:t xml:space="preserve"> Compare the tag inventory with what actually loads; inspect pixel payloads during a test submission; review Tag Manager users and version history.</w:t>
      </w:r>
    </w:p>
    <w:p>
      <w:r>
        <w:rPr>
          <w:b/>
        </w:rPr>
        <w:t xml:space="preserve">Acceptance evidence:</w:t>
      </w:r>
      <w:r>
        <w:t xml:space="preserve"> Tag inventory current; no personal information or sensitive-page signals sent to ad platforms without approval; Tag Manager access restricted.</w:t>
      </w:r>
    </w:p>
    <w:p>
      <w:pPr>
        <w:pStyle w:val="Heading2"/>
        <w:keepNext/>
      </w:pPr>
      <w:r>
        <w:t xml:space="preserve">21  AI features and chat assistants</w:t>
      </w:r>
    </w:p>
    <w:p>
      <w:r>
        <w:rPr>
          <w:b/>
        </w:rPr>
        <w:t xml:space="preserve">Security objective:</w:t>
      </w:r>
      <w:r>
        <w:t xml:space="preserve"> Stop AI features leaking data, being hijacked or misleading users.</w:t>
      </w:r>
    </w:p>
    <w:p>
      <w:r>
        <w:rPr>
          <w:b/>
        </w:rPr>
        <w:t xml:space="preserve">Implementation requirements:</w:t>
      </w:r>
      <w:r>
        <w:t xml:space="preserve"> Treat model output as untrusted: never render it as raw HTML, and never let it trigger consequential actions without server-side authorisation and, where appropriate, human approval (control 03). Assume direct and indirect prompt injection: limit tools and data to the minimum, allowlist permitted tool operations and isolate credentials. Keep API keys server-side with per-user and global rate and spend limits. Keep secrets and confidential client information out of system prompts. Tell users they are interacting with AI and that it isn't professional advice. Document what conversation data is logged, where it's processed (including offshore), how long it's kept and whether the provider trains on it (vendor assessment, section 5). Record model, provider and version changes, and run regression evaluations before promoting a material model change. If the feature makes or substantially assists decisions about individuals, apply the automated decision-making disclosure obligations (section 6).</w:t>
      </w:r>
    </w:p>
    <w:p>
      <w:r>
        <w:rPr>
          <w:b/>
        </w:rPr>
        <w:t xml:space="preserve">Verification procedure:</w:t>
      </w:r>
      <w:r>
        <w:t xml:space="preserve"> Test prompt injection (direct and via retrieved content), retrieval poisoning, system-prompt extraction, cross-user leakage, tool misuse, unsafe output rendering, rate and spend limits, and the AI and advice notices.</w:t>
      </w:r>
    </w:p>
    <w:p>
      <w:r>
        <w:rPr>
          <w:b/>
        </w:rPr>
        <w:t xml:space="preserve">Acceptance evidence:</w:t>
      </w:r>
      <w:r>
        <w:t xml:space="preserve"> AI data flow and retention documented; injection and evaluation results recorded; spend limits active; disclosures live.</w:t>
      </w:r>
    </w:p>
    <w:p>
      <w:pPr>
        <w:pStyle w:val="Heading2"/>
        <w:keepNext/>
      </w:pPr>
      <w:r>
        <w:t xml:space="preserve">22  Availability, abuse protection and vulnerability disclosure</w:t>
      </w:r>
    </w:p>
    <w:p>
      <w:r>
        <w:rPr>
          <w:b/>
        </w:rPr>
        <w:t xml:space="preserve">Security objective:</w:t>
      </w:r>
      <w:r>
        <w:t xml:space="preserve"> Keep sites available and give people a way to report problems.</w:t>
      </w:r>
    </w:p>
    <w:p>
      <w:r>
        <w:rPr>
          <w:b/>
        </w:rPr>
        <w:t xml:space="preserve">Implementation requirements:</w:t>
      </w:r>
      <w:r>
        <w:t xml:space="preserve"> Serve through a CDN with DDoS protection (included with Vercel and Cloudflare); apply edge rate limiting and bot management to forms, auth and API routes; set up external uptime and certificate monitoring that alerts a named person. Publish /.well-known/security.txt with a monitored contact and an expiry date; reports enter the vulnerability workflow (section 5). Keep an out-of-hours contact route for clients under a maintenance agreement.</w:t>
      </w:r>
    </w:p>
    <w:p>
      <w:r>
        <w:rPr>
          <w:b/>
        </w:rPr>
        <w:t xml:space="preserve">Verification procedure:</w:t>
      </w:r>
      <w:r>
        <w:t xml:space="preserve"> Confirm monitoring alerts reach the right person; test rate limits; confirm security.txt resolves and the mailbox is monitored.</w:t>
      </w:r>
    </w:p>
    <w:p>
      <w:r>
        <w:rPr>
          <w:b/>
        </w:rPr>
        <w:t xml:space="preserve">Acceptance evidence:</w:t>
      </w:r>
      <w:r>
        <w:t xml:space="preserve"> Uptime and certificate monitoring active; security.txt live; triage process documented.</w:t>
      </w:r>
    </w:p>
    <w:p>
      <w:pPr>
        <w:pStyle w:val="Heading1"/>
      </w:pPr>
      <w:r>
        <w:t xml:space="preserve">4. Next.js implementation standard</w:t>
      </w:r>
    </w:p>
    <w:p>
      <w:r>
        <w:t xml:space="preserve">These patterns apply to every ITWM Next.js build on the App Router. They cover the places Next.js sites most often go wrong.</w:t>
      </w:r>
    </w:p>
    <w:p>
      <w:pPr>
        <w:pStyle w:val="Heading2"/>
      </w:pPr>
      <w:r>
        <w:t xml:space="preserve">Server Actions and Route Handlers are public endpoints</w:t>
      </w:r>
    </w:p>
    <w:p>
      <w:r>
        <w:t xml:space="preserve">Any Server Action used by the app is reachable by a direct POST request, whether or not the button that calls it is shown, and a page-level auth check doesn't extend to the actions defined in it. Every action and Route Handler must authenticate, authorise, validate input and return minimal data. Pattern:</w:t>
      </w:r>
    </w:p>
    <w:p>
      <w:pPr>
        <w:shd w:val="clear" w:color="auto" w:fill="F2F2F2"/>
        <w:spacing w:before="0" w:after="0"/>
        <w:ind w:left="144"/>
      </w:pPr>
      <w:r>
        <w:rPr>
          <w:rFonts w:ascii="Courier New" w:hAnsi="Courier New"/>
          <w:sz w:val="17"/>
        </w:rPr>
        <w:t xml:space="preserve">'use server'</w:t>
      </w:r>
    </w:p>
    <w:p>
      <w:pPr>
        <w:shd w:val="clear" w:color="auto" w:fill="F2F2F2"/>
        <w:spacing w:before="0" w:after="0"/>
        <w:ind w:left="144"/>
      </w:pPr>
      <w:r>
        <w:rPr>
          <w:rFonts w:ascii="Courier New" w:hAnsi="Courier New"/>
          <w:sz w:val="17"/>
        </w:rPr>
        <w:t xml:space="preserve">export async function updateEnquiry(input: unknown) {</w:t>
      </w:r>
    </w:p>
    <w:p>
      <w:pPr>
        <w:shd w:val="clear" w:color="auto" w:fill="F2F2F2"/>
        <w:spacing w:before="0" w:after="0"/>
        <w:ind w:left="144"/>
      </w:pPr>
      <w:r>
        <w:rPr>
          <w:rFonts w:ascii="Courier New" w:hAnsi="Courier New"/>
          <w:sz w:val="17"/>
        </w:rPr>
        <w:t xml:space="preserve">  const user = await requireUser()          // throws if not signed in</w:t>
      </w:r>
    </w:p>
    <w:p>
      <w:pPr>
        <w:shd w:val="clear" w:color="auto" w:fill="F2F2F2"/>
        <w:spacing w:before="0" w:after="0"/>
        <w:ind w:left="144"/>
      </w:pPr>
      <w:r>
        <w:rPr>
          <w:rFonts w:ascii="Courier New" w:hAnsi="Courier New"/>
          <w:sz w:val="17"/>
        </w:rPr>
        <w:t xml:space="preserve">  const data = EnquirySchema.parse(input)    // Zod: reject anything unexpected</w:t>
      </w:r>
    </w:p>
    <w:p>
      <w:pPr>
        <w:shd w:val="clear" w:color="auto" w:fill="F2F2F2"/>
        <w:spacing w:before="0" w:after="0"/>
        <w:ind w:left="144"/>
      </w:pPr>
      <w:r>
        <w:rPr>
          <w:rFonts w:ascii="Courier New" w:hAnsi="Courier New"/>
          <w:sz w:val="17"/>
        </w:rPr>
        <w:t xml:space="preserve">  const enquiry = await getEnquiry(data.id)</w:t>
      </w:r>
    </w:p>
    <w:p>
      <w:pPr>
        <w:shd w:val="clear" w:color="auto" w:fill="F2F2F2"/>
        <w:spacing w:before="0" w:after="0"/>
        <w:ind w:left="144"/>
      </w:pPr>
      <w:r>
        <w:rPr>
          <w:rFonts w:ascii="Courier New" w:hAnsi="Courier New"/>
          <w:sz w:val="17"/>
        </w:rPr>
        <w:t xml:space="preserve">  if (enquiry.tenantId !== user.tenantId) throw new Forbidden()</w:t>
      </w:r>
    </w:p>
    <w:p>
      <w:pPr>
        <w:shd w:val="clear" w:color="auto" w:fill="F2F2F2"/>
        <w:spacing w:before="0" w:after="0"/>
        <w:ind w:left="144"/>
      </w:pPr>
      <w:r>
        <w:rPr>
          <w:rFonts w:ascii="Courier New" w:hAnsi="Courier New"/>
          <w:sz w:val="17"/>
        </w:rPr>
        <w:t xml:space="preserve">  return saveEnquiry({ id: data.id, status: data.status })  // explicit fields only</w:t>
      </w:r>
    </w:p>
    <w:p>
      <w:pPr>
        <w:shd w:val="clear" w:color="auto" w:fill="F2F2F2"/>
        <w:spacing w:before="0" w:after="0"/>
        <w:ind w:left="144"/>
      </w:pPr>
      <w:r>
        <w:rPr>
          <w:rFonts w:ascii="Courier New" w:hAnsi="Courier New"/>
          <w:sz w:val="17"/>
        </w:rPr>
        <w:t xml:space="preserve">}</w:t>
      </w:r>
    </w:p>
    <w:p>
      <w:pPr>
        <w:pStyle w:val="Heading2"/>
      </w:pPr>
      <w:r>
        <w:t xml:space="preserve">Data access layer</w:t>
      </w:r>
    </w:p>
    <w:p>
      <w:r>
        <w:t xml:space="preserve">Put all database and API access in server-only modules (import 'server-only') that perform authorisation checks and return data transfer objects with only the fields the UI needs. Never pass whole database records into Client Components: every prop is serialised into the page and visible to the browser.</w:t>
      </w:r>
    </w:p>
    <w:p>
      <w:pPr>
        <w:pStyle w:val="Heading2"/>
      </w:pPr>
      <w:r>
        <w:t xml:space="preserve">Middleware (proxy.ts) is not authorisation</w:t>
      </w:r>
    </w:p>
    <w:p>
      <w:r>
        <w:t xml:space="preserve">Use middleware (renamed proxy.ts in Next.js 16) for redirects, headers and coarse routing only. Repeat every access check in the page, action or handler that reads or changes data. CVE-2025-29927 allowed middleware to be skipped entirely on unpatched versions.</w:t>
      </w:r>
    </w:p>
    <w:p>
      <w:pPr>
        <w:pStyle w:val="Heading2"/>
      </w:pPr>
      <w:r>
        <w:t xml:space="preserve">Environment variables</w:t>
      </w:r>
    </w:p>
    <w:p>
      <w:r>
        <w:t xml:space="preserve">Only values safe for the public use the NEXT_PUBLIC_ prefix. Scope variables per environment in the hosting provider. Preview builds use non-production keys and test data.</w:t>
      </w:r>
    </w:p>
    <w:p>
      <w:pPr>
        <w:pStyle w:val="Heading2"/>
      </w:pPr>
      <w:r>
        <w:t xml:space="preserve">Security headers and CSP</w:t>
      </w:r>
    </w:p>
    <w:p>
      <w:r>
        <w:t xml:space="preserve">Define static headers in next.config.js headers(). For a nonce-based CSP, generate the nonce in middleware/proxy, pass it in a request header and apply it to scripts; affected routes become dynamically rendered. Start in Content-Security-Policy-Report-Only and collect reports before enforcing. Prefer nonce or hash-based script-src, object-src 'none', base-uri 'self', form-action 'self' and a restrictive frame-ancestors; avoid 'unsafe-inline' and 'unsafe-eval' where feasible.</w:t>
      </w:r>
    </w:p>
    <w:p>
      <w:pPr>
        <w:pStyle w:val="Heading2"/>
      </w:pPr>
      <w:r>
        <w:t xml:space="preserve">Images, caching and revalidation</w:t>
      </w:r>
    </w:p>
    <w:p>
      <w:r>
        <w:t xml:space="preserve">Restrict images.remotePatterns to known hosts, never broad wildcards. Never cache user-specific responses in shared caches (control 14). Protect revalidatePath and revalidateTag triggers and draft mode with secrets, compared in constant time.</w:t>
      </w:r>
    </w:p>
    <w:p>
      <w:pPr>
        <w:pStyle w:val="Heading2"/>
      </w:pPr>
      <w:r>
        <w:t xml:space="preserve">Build and release configuration</w:t>
      </w:r>
    </w:p>
    <w:p>
      <w:r>
        <w:t xml:space="preserve">poweredByHeader: false; productionBrowserSourceMaps: false; no console logging of request bodies; supported Node.js version; Next.js and React on a currently patched release line.</w:t>
      </w:r>
    </w:p>
    <w:p>
      <w:pPr>
        <w:pStyle w:val="Heading2"/>
      </w:pPr>
      <w:r>
        <w:t xml:space="preserve">Webhook verification</w:t>
      </w:r>
    </w:p>
    <w:p>
      <w:r>
        <w:t xml:space="preserve">Read the raw request body; verify the provider's HMAC or signature with a server-held secret using constant-time comparison; reject stale timestamps and replayed event IDs; make processing idempotent.</w:t>
      </w:r>
    </w:p>
    <w:p>
      <w:pPr>
        <w:pStyle w:val="Heading2"/>
      </w:pPr>
      <w:r>
        <w:t xml:space="preserve">Database queries</w:t>
      </w:r>
    </w:p>
    <w:p>
      <w:r>
        <w:t xml:space="preserve">Example (illustrative): SELECT * FROM enquiries WHERE id = $1 AND tenant_id = $2, with both parameters supplied separately through the driver or ORM. Never build queries with string interpolation, including inside template-literal raw query helpers.</w:t>
      </w:r>
    </w:p>
    <w:p>
      <w:pPr>
        <w:pStyle w:val="Heading2"/>
      </w:pPr>
      <w:r>
        <w:t xml:space="preserve">Cookies</w:t>
      </w:r>
    </w:p>
    <w:p>
      <w:r>
        <w:t xml:space="preserve">Example session cookie: Set-Cookie: __Host-session=&lt;opaque&gt;; Path=/; Secure; HttpOnly; SameSite=Lax. Choose Strict or Lax based on login and cross-site requirements, and add CSRF protection where needed.</w:t>
      </w:r>
    </w:p>
    <w:p>
      <w:pPr>
        <w:pStyle w:val="Heading2"/>
      </w:pPr>
      <w:r>
        <w:t xml:space="preserve">Payment collection</w:t>
      </w:r>
    </w:p>
    <w:p>
      <w:r>
        <w:t xml:space="preserve">Use a reputable hosted payment page or tokenised provider components (for example Stripe Checkout or Elements). Don't handle card numbers directly unless PCI DSS obligations are explicitly scoped and supported. Hosted fields still require the payment page's scripts to be controlled (control 20).</w:t>
      </w:r>
    </w:p>
    <w:p>
      <w:pPr>
        <w:pStyle w:val="Heading1"/>
      </w:pPr>
      <w:r>
        <w:t xml:space="preserve">5. Assurance processes</w:t>
      </w:r>
    </w:p>
    <w:p>
      <w:pPr>
        <w:pStyle w:val="Heading2"/>
      </w:pPr>
      <w:r>
        <w:t xml:space="preserve">ASVS 5.0.0 traceability</w:t>
      </w:r>
    </w:p>
    <w:p>
      <w:r>
        <w:t xml:space="preserve">OWASP ASVS is the primary technical verification reference; the OWASP Top 10 is a risk-awareness reference, not a definition of completeness. For Tier B projects, verify against ASVS Level 1; for Tier C, Level 2 (levels are cumulative). Record results in an ASVS applicability register (Appendix A), marking each requirement at the target level Implemented/Verified, Not Applicable (with justification), Exception/Risk Accepted or Not Yet Verified. Cite requirements in the version-pinned form OWASP recommends, for example v5.0.0-8.2.2, and take every ID from the published standard, never from this table. The matrix below shows where each ITWM control is primarily verified; it is a navigation aid, not a substitute for the register.</w:t>
      </w:r>
    </w:p>
    <w:tbl>
      <w:tblPr>
        <w:tblStyle w:val="LightShading-Accent1"/>
        <w:tblW w:type="dxa" w:w="8640"/>
        <w:tblLook w:firstColumn="1" w:firstRow="1" w:lastColumn="0" w:lastRow="0" w:noHBand="0" w:noVBand="1" w:val="04A0"/>
      </w:tblPr>
      <w:tblGrid>
        <w:gridCol w:w="2700"/>
        <w:gridCol w:w="3540"/>
        <w:gridCol w:w="2400"/>
      </w:tblGrid>
      <w:tr>
        <w:trPr>
          <w:tblHeader/>
        </w:trPr>
        <w:tc>
          <w:tcPr>
            <w:tcW w:type="dxa" w:w="2700"/>
          </w:tcPr>
          <w:p>
            <w:r>
              <w:t xml:space="preserve">ITWM control</w:t>
            </w:r>
          </w:p>
        </w:tc>
        <w:tc>
          <w:tcPr>
            <w:tcW w:type="dxa" w:w="3540"/>
          </w:tcPr>
          <w:p>
            <w:r>
              <w:t xml:space="preserve">Primary ASVS 5.0 chapters</w:t>
            </w:r>
          </w:p>
        </w:tc>
        <w:tc>
          <w:tcPr>
            <w:tcW w:type="dxa" w:w="2400"/>
          </w:tcPr>
          <w:p>
            <w:r>
              <w:t xml:space="preserve">Minimum evidence</w:t>
            </w:r>
          </w:p>
        </w:tc>
      </w:tr>
      <w:tr>
        <w:tc>
          <w:tcPr>
            <w:tcW w:type="dxa" w:w="2700"/>
          </w:tcPr>
          <w:p>
            <w:r>
              <w:rPr>
                <w:color w:val="262626"/>
              </w:rPr>
              <w:t xml:space="preserve">01 HTTPS and TLS</w:t>
            </w:r>
          </w:p>
        </w:tc>
        <w:tc>
          <w:tcPr>
            <w:tcW w:type="dxa" w:w="3540"/>
          </w:tcPr>
          <w:p>
            <w:r>
              <w:rPr>
                <w:color w:val="262626"/>
              </w:rPr>
              <w:t xml:space="preserve">V12 Secure Communication</w:t>
            </w:r>
          </w:p>
        </w:tc>
        <w:tc>
          <w:tcPr>
            <w:tcW w:type="dxa" w:w="2400"/>
          </w:tcPr>
          <w:p>
            <w:r>
              <w:rPr>
                <w:color w:val="262626"/>
              </w:rPr>
              <w:t xml:space="preserve">Live TLS and HSTS results; certificate monitoring</w:t>
            </w:r>
          </w:p>
        </w:tc>
      </w:tr>
      <w:tr>
        <w:tc>
          <w:tcPr>
            <w:tcW w:type="dxa" w:w="2700"/>
          </w:tcPr>
          <w:p>
            <w:r>
              <w:rPr>
                <w:color w:val="262626"/>
              </w:rPr>
              <w:t xml:space="preserve">02 Authentication and recovery</w:t>
            </w:r>
          </w:p>
        </w:tc>
        <w:tc>
          <w:tcPr>
            <w:tcW w:type="dxa" w:w="3540"/>
          </w:tcPr>
          <w:p>
            <w:r>
              <w:rPr>
                <w:color w:val="262626"/>
              </w:rPr>
              <w:t xml:space="preserve">V6 Authentication; V10 OAuth and OIDC where used</w:t>
            </w:r>
          </w:p>
        </w:tc>
        <w:tc>
          <w:tcPr>
            <w:tcW w:type="dxa" w:w="2400"/>
          </w:tcPr>
          <w:p>
            <w:r>
              <w:rPr>
                <w:color w:val="262626"/>
              </w:rPr>
              <w:t xml:space="preserve">Auth design; brute-force and recovery tests</w:t>
            </w:r>
          </w:p>
        </w:tc>
      </w:tr>
      <w:tr>
        <w:tc>
          <w:tcPr>
            <w:tcW w:type="dxa" w:w="2700"/>
          </w:tcPr>
          <w:p>
            <w:r>
              <w:rPr>
                <w:color w:val="262626"/>
              </w:rPr>
              <w:t xml:space="preserve">03 MFA and step-up</w:t>
            </w:r>
          </w:p>
        </w:tc>
        <w:tc>
          <w:tcPr>
            <w:tcW w:type="dxa" w:w="3540"/>
          </w:tcPr>
          <w:p>
            <w:r>
              <w:rPr>
                <w:color w:val="262626"/>
              </w:rPr>
              <w:t xml:space="preserve">V6 Authentication; V8 Authorization</w:t>
            </w:r>
          </w:p>
        </w:tc>
        <w:tc>
          <w:tcPr>
            <w:tcW w:type="dxa" w:w="2400"/>
          </w:tcPr>
          <w:p>
            <w:r>
              <w:rPr>
                <w:color w:val="262626"/>
              </w:rPr>
              <w:t xml:space="preserve">MFA register; step-up tests</w:t>
            </w:r>
          </w:p>
        </w:tc>
      </w:tr>
      <w:tr>
        <w:tc>
          <w:tcPr>
            <w:tcW w:type="dxa" w:w="2700"/>
          </w:tcPr>
          <w:p>
            <w:r>
              <w:rPr>
                <w:color w:val="262626"/>
              </w:rPr>
              <w:t xml:space="preserve">04 Authorisation</w:t>
            </w:r>
          </w:p>
        </w:tc>
        <w:tc>
          <w:tcPr>
            <w:tcW w:type="dxa" w:w="3540"/>
          </w:tcPr>
          <w:p>
            <w:r>
              <w:rPr>
                <w:color w:val="262626"/>
              </w:rPr>
              <w:t xml:space="preserve">V8 Authorization</w:t>
            </w:r>
          </w:p>
        </w:tc>
        <w:tc>
          <w:tcPr>
            <w:tcW w:type="dxa" w:w="2400"/>
          </w:tcPr>
          <w:p>
            <w:r>
              <w:rPr>
                <w:color w:val="262626"/>
              </w:rPr>
              <w:t xml:space="preserve">Permissions matrix; IDOR/BOLA and cross-tenant tests</w:t>
            </w:r>
          </w:p>
        </w:tc>
      </w:tr>
      <w:tr>
        <w:tc>
          <w:tcPr>
            <w:tcW w:type="dxa" w:w="2700"/>
          </w:tcPr>
          <w:p>
            <w:r>
              <w:rPr>
                <w:color w:val="262626"/>
              </w:rPr>
              <w:t xml:space="preserve">05 Input and files</w:t>
            </w:r>
          </w:p>
        </w:tc>
        <w:tc>
          <w:tcPr>
            <w:tcW w:type="dxa" w:w="3540"/>
          </w:tcPr>
          <w:p>
            <w:r>
              <w:rPr>
                <w:color w:val="262626"/>
              </w:rPr>
              <w:t xml:space="preserve">V2 Validation and Business Logic; V5 File Handling</w:t>
            </w:r>
          </w:p>
        </w:tc>
        <w:tc>
          <w:tcPr>
            <w:tcW w:type="dxa" w:w="2400"/>
          </w:tcPr>
          <w:p>
            <w:r>
              <w:rPr>
                <w:color w:val="262626"/>
              </w:rPr>
              <w:t xml:space="preserve">Schema tests; upload tests</w:t>
            </w:r>
          </w:p>
        </w:tc>
      </w:tr>
      <w:tr>
        <w:tc>
          <w:tcPr>
            <w:tcW w:type="dxa" w:w="2700"/>
          </w:tcPr>
          <w:p>
            <w:r>
              <w:rPr>
                <w:color w:val="262626"/>
              </w:rPr>
              <w:t xml:space="preserve">06 Injection</w:t>
            </w:r>
          </w:p>
        </w:tc>
        <w:tc>
          <w:tcPr>
            <w:tcW w:type="dxa" w:w="3540"/>
          </w:tcPr>
          <w:p>
            <w:r>
              <w:rPr>
                <w:color w:val="262626"/>
              </w:rPr>
              <w:t xml:space="preserve">V1 Encoding and Sanitization</w:t>
            </w:r>
          </w:p>
        </w:tc>
        <w:tc>
          <w:tcPr>
            <w:tcW w:type="dxa" w:w="2400"/>
          </w:tcPr>
          <w:p>
            <w:r>
              <w:rPr>
                <w:color w:val="262626"/>
              </w:rPr>
              <w:t xml:space="preserve">Code review; injection test results</w:t>
            </w:r>
          </w:p>
        </w:tc>
      </w:tr>
      <w:tr>
        <w:tc>
          <w:tcPr>
            <w:tcW w:type="dxa" w:w="2700"/>
          </w:tcPr>
          <w:p>
            <w:r>
              <w:rPr>
                <w:color w:val="262626"/>
              </w:rPr>
              <w:t xml:space="preserve">07 XSS</w:t>
            </w:r>
          </w:p>
        </w:tc>
        <w:tc>
          <w:tcPr>
            <w:tcW w:type="dxa" w:w="3540"/>
          </w:tcPr>
          <w:p>
            <w:r>
              <w:rPr>
                <w:color w:val="262626"/>
              </w:rPr>
              <w:t xml:space="preserve">V1 Encoding and Sanitization; V3 Web Frontend Security</w:t>
            </w:r>
          </w:p>
        </w:tc>
        <w:tc>
          <w:tcPr>
            <w:tcW w:type="dxa" w:w="2400"/>
          </w:tcPr>
          <w:p>
            <w:r>
              <w:rPr>
                <w:color w:val="262626"/>
              </w:rPr>
              <w:t xml:space="preserve">XSS tests; sanitiser and CSP evidence</w:t>
            </w:r>
          </w:p>
        </w:tc>
      </w:tr>
      <w:tr>
        <w:tc>
          <w:tcPr>
            <w:tcW w:type="dxa" w:w="2700"/>
          </w:tcPr>
          <w:p>
            <w:r>
              <w:rPr>
                <w:color w:val="262626"/>
              </w:rPr>
              <w:t xml:space="preserve">08 CSRF and CORS</w:t>
            </w:r>
          </w:p>
        </w:tc>
        <w:tc>
          <w:tcPr>
            <w:tcW w:type="dxa" w:w="3540"/>
          </w:tcPr>
          <w:p>
            <w:r>
              <w:rPr>
                <w:color w:val="262626"/>
              </w:rPr>
              <w:t xml:space="preserve">V3 Web Frontend Security; V4 API and Web Service</w:t>
            </w:r>
          </w:p>
        </w:tc>
        <w:tc>
          <w:tcPr>
            <w:tcW w:type="dxa" w:w="2400"/>
          </w:tcPr>
          <w:p>
            <w:r>
              <w:rPr>
                <w:color w:val="262626"/>
              </w:rPr>
              <w:t xml:space="preserve">Forged-request tests</w:t>
            </w:r>
          </w:p>
        </w:tc>
      </w:tr>
      <w:tr>
        <w:tc>
          <w:tcPr>
            <w:tcW w:type="dxa" w:w="2700"/>
          </w:tcPr>
          <w:p>
            <w:r>
              <w:rPr>
                <w:color w:val="262626"/>
              </w:rPr>
              <w:t xml:space="preserve">09 Sessions and tokens</w:t>
            </w:r>
          </w:p>
        </w:tc>
        <w:tc>
          <w:tcPr>
            <w:tcW w:type="dxa" w:w="3540"/>
          </w:tcPr>
          <w:p>
            <w:r>
              <w:rPr>
                <w:color w:val="262626"/>
              </w:rPr>
              <w:t xml:space="preserve">V7 Session Management; V9 Self-contained Tokens</w:t>
            </w:r>
          </w:p>
        </w:tc>
        <w:tc>
          <w:tcPr>
            <w:tcW w:type="dxa" w:w="2400"/>
          </w:tcPr>
          <w:p>
            <w:r>
              <w:rPr>
                <w:color w:val="262626"/>
              </w:rPr>
              <w:t xml:space="preserve">Cookie and token config; expiry and revocation tests</w:t>
            </w:r>
          </w:p>
        </w:tc>
      </w:tr>
      <w:tr>
        <w:tc>
          <w:tcPr>
            <w:tcW w:type="dxa" w:w="2700"/>
          </w:tcPr>
          <w:p>
            <w:r>
              <w:rPr>
                <w:color w:val="262626"/>
              </w:rPr>
              <w:t xml:space="preserve">10 Encryption, secrets, keys</w:t>
            </w:r>
          </w:p>
        </w:tc>
        <w:tc>
          <w:tcPr>
            <w:tcW w:type="dxa" w:w="3540"/>
          </w:tcPr>
          <w:p>
            <w:r>
              <w:rPr>
                <w:color w:val="262626"/>
              </w:rPr>
              <w:t xml:space="preserve">V11 Cryptography; V13 Configuration; V14 Data Protection</w:t>
            </w:r>
          </w:p>
        </w:tc>
        <w:tc>
          <w:tcPr>
            <w:tcW w:type="dxa" w:w="2400"/>
          </w:tcPr>
          <w:p>
            <w:r>
              <w:rPr>
                <w:color w:val="262626"/>
              </w:rPr>
              <w:t xml:space="preserve">Secret scans; key inventory</w:t>
            </w:r>
          </w:p>
        </w:tc>
      </w:tr>
      <w:tr>
        <w:tc>
          <w:tcPr>
            <w:tcW w:type="dxa" w:w="2700"/>
          </w:tcPr>
          <w:p>
            <w:r>
              <w:rPr>
                <w:color w:val="262626"/>
              </w:rPr>
              <w:t xml:space="preserve">11 Browser headers</w:t>
            </w:r>
          </w:p>
        </w:tc>
        <w:tc>
          <w:tcPr>
            <w:tcW w:type="dxa" w:w="3540"/>
          </w:tcPr>
          <w:p>
            <w:r>
              <w:rPr>
                <w:color w:val="262626"/>
              </w:rPr>
              <w:t xml:space="preserve">V3 Web Frontend Security</w:t>
            </w:r>
          </w:p>
        </w:tc>
        <w:tc>
          <w:tcPr>
            <w:tcW w:type="dxa" w:w="2400"/>
          </w:tcPr>
          <w:p>
            <w:r>
              <w:rPr>
                <w:color w:val="262626"/>
              </w:rPr>
              <w:t xml:space="preserve">Production header capture; CSP reports</w:t>
            </w:r>
          </w:p>
        </w:tc>
      </w:tr>
      <w:tr>
        <w:tc>
          <w:tcPr>
            <w:tcW w:type="dxa" w:w="2700"/>
          </w:tcPr>
          <w:p>
            <w:r>
              <w:rPr>
                <w:color w:val="262626"/>
              </w:rPr>
              <w:t xml:space="preserve">12 APIs and outbound requests</w:t>
            </w:r>
          </w:p>
        </w:tc>
        <w:tc>
          <w:tcPr>
            <w:tcW w:type="dxa" w:w="3540"/>
          </w:tcPr>
          <w:p>
            <w:r>
              <w:rPr>
                <w:color w:val="262626"/>
              </w:rPr>
              <w:t xml:space="preserve">V4 API and Web Service; V8 Authorization; V1 (SSRF)</w:t>
            </w:r>
          </w:p>
        </w:tc>
        <w:tc>
          <w:tcPr>
            <w:tcW w:type="dxa" w:w="2400"/>
          </w:tcPr>
          <w:p>
            <w:r>
              <w:rPr>
                <w:color w:val="262626"/>
              </w:rPr>
              <w:t xml:space="preserve">API, webhook, SSRF and rate-limit tests</w:t>
            </w:r>
          </w:p>
        </w:tc>
      </w:tr>
      <w:tr>
        <w:tc>
          <w:tcPr>
            <w:tcW w:type="dxa" w:w="2700"/>
          </w:tcPr>
          <w:p>
            <w:r>
              <w:rPr>
                <w:color w:val="262626"/>
              </w:rPr>
              <w:t xml:space="preserve">13 Dependencies and CI/CD</w:t>
            </w:r>
          </w:p>
        </w:tc>
        <w:tc>
          <w:tcPr>
            <w:tcW w:type="dxa" w:w="3540"/>
          </w:tcPr>
          <w:p>
            <w:r>
              <w:rPr>
                <w:color w:val="262626"/>
              </w:rPr>
              <w:t xml:space="preserve">V15 Secure Coding and Architecture</w:t>
            </w:r>
          </w:p>
        </w:tc>
        <w:tc>
          <w:tcPr>
            <w:tcW w:type="dxa" w:w="2400"/>
          </w:tcPr>
          <w:p>
            <w:r>
              <w:rPr>
                <w:color w:val="262626"/>
              </w:rPr>
              <w:t xml:space="preserve">Scan results; SBOM; CI/CD evidence</w:t>
            </w:r>
          </w:p>
        </w:tc>
      </w:tr>
      <w:tr>
        <w:tc>
          <w:tcPr>
            <w:tcW w:type="dxa" w:w="2700"/>
          </w:tcPr>
          <w:p>
            <w:r>
              <w:rPr>
                <w:color w:val="262626"/>
              </w:rPr>
              <w:t xml:space="preserve">14 Hosting and caching</w:t>
            </w:r>
          </w:p>
        </w:tc>
        <w:tc>
          <w:tcPr>
            <w:tcW w:type="dxa" w:w="3540"/>
          </w:tcPr>
          <w:p>
            <w:r>
              <w:rPr>
                <w:color w:val="262626"/>
              </w:rPr>
              <w:t xml:space="preserve">V13 Configuration; V14 Data Protection</w:t>
            </w:r>
          </w:p>
        </w:tc>
        <w:tc>
          <w:tcPr>
            <w:tcW w:type="dxa" w:w="2400"/>
          </w:tcPr>
          <w:p>
            <w:r>
              <w:rPr>
                <w:color w:val="262626"/>
              </w:rPr>
              <w:t xml:space="preserve">Configuration review; cache tests</w:t>
            </w:r>
          </w:p>
        </w:tc>
      </w:tr>
      <w:tr>
        <w:tc>
          <w:tcPr>
            <w:tcW w:type="dxa" w:w="2700"/>
          </w:tcPr>
          <w:p>
            <w:r>
              <w:rPr>
                <w:color w:val="262626"/>
              </w:rPr>
              <w:t xml:space="preserve">15 Logging and errors</w:t>
            </w:r>
          </w:p>
        </w:tc>
        <w:tc>
          <w:tcPr>
            <w:tcW w:type="dxa" w:w="3540"/>
          </w:tcPr>
          <w:p>
            <w:r>
              <w:rPr>
                <w:color w:val="262626"/>
              </w:rPr>
              <w:t xml:space="preserve">V16 Security Logging and Error Handling</w:t>
            </w:r>
          </w:p>
        </w:tc>
        <w:tc>
          <w:tcPr>
            <w:tcW w:type="dxa" w:w="2400"/>
          </w:tcPr>
          <w:p>
            <w:r>
              <w:rPr>
                <w:color w:val="262626"/>
              </w:rPr>
              <w:t xml:space="preserve">Alert tests; redaction checks</w:t>
            </w:r>
          </w:p>
        </w:tc>
      </w:tr>
      <w:tr>
        <w:tc>
          <w:tcPr>
            <w:tcW w:type="dxa" w:w="2700"/>
          </w:tcPr>
          <w:p>
            <w:r>
              <w:rPr>
                <w:color w:val="262626"/>
              </w:rPr>
              <w:t xml:space="preserve">16 Testing and backups</w:t>
            </w:r>
          </w:p>
        </w:tc>
        <w:tc>
          <w:tcPr>
            <w:tcW w:type="dxa" w:w="3540"/>
          </w:tcPr>
          <w:p>
            <w:r>
              <w:rPr>
                <w:color w:val="262626"/>
              </w:rPr>
              <w:t xml:space="preserve">Cross-cutting; V15, V16</w:t>
            </w:r>
          </w:p>
        </w:tc>
        <w:tc>
          <w:tcPr>
            <w:tcW w:type="dxa" w:w="2400"/>
          </w:tcPr>
          <w:p>
            <w:r>
              <w:rPr>
                <w:color w:val="262626"/>
              </w:rPr>
              <w:t xml:space="preserve">Test reports; restore logs</w:t>
            </w:r>
          </w:p>
        </w:tc>
      </w:tr>
      <w:tr>
        <w:tc>
          <w:tcPr>
            <w:tcW w:type="dxa" w:w="2700"/>
          </w:tcPr>
          <w:p>
            <w:r>
              <w:rPr>
                <w:color w:val="262626"/>
              </w:rPr>
              <w:t xml:space="preserve">17 Agency access</w:t>
            </w:r>
          </w:p>
        </w:tc>
        <w:tc>
          <w:tcPr>
            <w:tcW w:type="dxa" w:w="3540"/>
          </w:tcPr>
          <w:p>
            <w:r>
              <w:rPr>
                <w:color w:val="262626"/>
              </w:rPr>
              <w:t xml:space="preserve">Outside ASVS scope (ACSC Essential Eight)</w:t>
            </w:r>
          </w:p>
        </w:tc>
        <w:tc>
          <w:tcPr>
            <w:tcW w:type="dxa" w:w="2400"/>
          </w:tcPr>
          <w:p>
            <w:r>
              <w:rPr>
                <w:color w:val="262626"/>
              </w:rPr>
              <w:t xml:space="preserve">Access register; MFA and ownership checks</w:t>
            </w:r>
          </w:p>
        </w:tc>
      </w:tr>
      <w:tr>
        <w:tc>
          <w:tcPr>
            <w:tcW w:type="dxa" w:w="2700"/>
          </w:tcPr>
          <w:p>
            <w:r>
              <w:rPr>
                <w:color w:val="262626"/>
              </w:rPr>
              <w:t xml:space="preserve">18 Domain, DNS, email</w:t>
            </w:r>
          </w:p>
        </w:tc>
        <w:tc>
          <w:tcPr>
            <w:tcW w:type="dxa" w:w="3540"/>
          </w:tcPr>
          <w:p>
            <w:r>
              <w:rPr>
                <w:color w:val="262626"/>
              </w:rPr>
              <w:t xml:space="preserve">Outside ASVS scope (ACSC email guidance)</w:t>
            </w:r>
          </w:p>
        </w:tc>
        <w:tc>
          <w:tcPr>
            <w:tcW w:type="dxa" w:w="2400"/>
          </w:tcPr>
          <w:p>
            <w:r>
              <w:rPr>
                <w:color w:val="262626"/>
              </w:rPr>
              <w:t xml:space="preserve">Registrar, DNS and DMARC evidence</w:t>
            </w:r>
          </w:p>
        </w:tc>
      </w:tr>
      <w:tr>
        <w:tc>
          <w:tcPr>
            <w:tcW w:type="dxa" w:w="2700"/>
          </w:tcPr>
          <w:p>
            <w:r>
              <w:rPr>
                <w:color w:val="262626"/>
              </w:rPr>
              <w:t xml:space="preserve">19 Forms and outbound email</w:t>
            </w:r>
          </w:p>
        </w:tc>
        <w:tc>
          <w:tcPr>
            <w:tcW w:type="dxa" w:w="3540"/>
          </w:tcPr>
          <w:p>
            <w:r>
              <w:rPr>
                <w:color w:val="262626"/>
              </w:rPr>
              <w:t xml:space="preserve">V2; V1; V14 Data Protection</w:t>
            </w:r>
          </w:p>
        </w:tc>
        <w:tc>
          <w:tcPr>
            <w:tcW w:type="dxa" w:w="2400"/>
          </w:tcPr>
          <w:p>
            <w:r>
              <w:rPr>
                <w:color w:val="262626"/>
              </w:rPr>
              <w:t xml:space="preserve">Form tests; notice; retention</w:t>
            </w:r>
          </w:p>
        </w:tc>
      </w:tr>
      <w:tr>
        <w:tc>
          <w:tcPr>
            <w:tcW w:type="dxa" w:w="2700"/>
          </w:tcPr>
          <w:p>
            <w:r>
              <w:rPr>
                <w:color w:val="262626"/>
              </w:rPr>
              <w:t xml:space="preserve">20 Third-party scripts</w:t>
            </w:r>
          </w:p>
        </w:tc>
        <w:tc>
          <w:tcPr>
            <w:tcW w:type="dxa" w:w="3540"/>
          </w:tcPr>
          <w:p>
            <w:r>
              <w:rPr>
                <w:color w:val="262626"/>
              </w:rPr>
              <w:t xml:space="preserve">V3 Web Frontend Security; V14 Data Protection</w:t>
            </w:r>
          </w:p>
        </w:tc>
        <w:tc>
          <w:tcPr>
            <w:tcW w:type="dxa" w:w="2400"/>
          </w:tcPr>
          <w:p>
            <w:r>
              <w:rPr>
                <w:color w:val="262626"/>
              </w:rPr>
              <w:t xml:space="preserve">Tag inventory; payload inspection</w:t>
            </w:r>
          </w:p>
        </w:tc>
      </w:tr>
      <w:tr>
        <w:tc>
          <w:tcPr>
            <w:tcW w:type="dxa" w:w="2700"/>
          </w:tcPr>
          <w:p>
            <w:r>
              <w:rPr>
                <w:color w:val="262626"/>
              </w:rPr>
              <w:t xml:space="preserve">21 AI features</w:t>
            </w:r>
          </w:p>
        </w:tc>
        <w:tc>
          <w:tcPr>
            <w:tcW w:type="dxa" w:w="3540"/>
          </w:tcPr>
          <w:p>
            <w:r>
              <w:rPr>
                <w:color w:val="262626"/>
              </w:rPr>
              <w:t xml:space="preserve">OWASP Top 10 for LLM Applications; ASVS by affected feature</w:t>
            </w:r>
          </w:p>
        </w:tc>
        <w:tc>
          <w:tcPr>
            <w:tcW w:type="dxa" w:w="2400"/>
          </w:tcPr>
          <w:p>
            <w:r>
              <w:rPr>
                <w:color w:val="262626"/>
              </w:rPr>
              <w:t xml:space="preserve">AI data flow; injection and evaluation results</w:t>
            </w:r>
          </w:p>
        </w:tc>
      </w:tr>
      <w:tr>
        <w:tc>
          <w:tcPr>
            <w:tcW w:type="dxa" w:w="2700"/>
          </w:tcPr>
          <w:p>
            <w:r>
              <w:rPr>
                <w:color w:val="262626"/>
              </w:rPr>
              <w:t xml:space="preserve">22 Availability and abuse</w:t>
            </w:r>
          </w:p>
        </w:tc>
        <w:tc>
          <w:tcPr>
            <w:tcW w:type="dxa" w:w="3540"/>
          </w:tcPr>
          <w:p>
            <w:r>
              <w:rPr>
                <w:color w:val="262626"/>
              </w:rPr>
              <w:t xml:space="preserve">V2 Validation and Business Logic (anti-automation); V13</w:t>
            </w:r>
          </w:p>
        </w:tc>
        <w:tc>
          <w:tcPr>
            <w:tcW w:type="dxa" w:w="2400"/>
          </w:tcPr>
          <w:p>
            <w:r>
              <w:rPr>
                <w:color w:val="262626"/>
              </w:rPr>
              <w:t xml:space="preserve">Rate-limit, uptime and security.txt evidence</w:t>
            </w:r>
          </w:p>
        </w:tc>
      </w:tr>
    </w:tbl>
    <w:p/>
    <w:p>
      <w:r>
        <w:t xml:space="preserve">Chapter placement is indicative. Confirm the chapter for each requirement against the published ASVS 5.0.0 when building the register.</w:t>
      </w:r>
    </w:p>
    <w:p>
      <w:pPr>
        <w:pStyle w:val="Heading2"/>
      </w:pPr>
      <w:r>
        <w:t xml:space="preserve">Threat modelling (STRIDE)</w:t>
      </w:r>
    </w:p>
    <w:p>
      <w:r>
        <w:t xml:space="preserve">Tier B needs a lightweight threat model: one page covering the entry points, data flows and abuse cases that exist. Tier C needs a documented model reviewed by the independent reviewer.</w:t>
      </w:r>
    </w:p>
    <w:p>
      <w:pPr>
        <w:pStyle w:val="ListBullet"/>
      </w:pPr>
      <w:r>
        <w:rPr>
          <w:b/>
        </w:rPr>
        <w:t xml:space="preserve">Diagram first.</w:t>
      </w:r>
      <w:r>
        <w:t xml:space="preserve"> Show users, browsers, CDN/WAF, Next.js runtime, identity provider, APIs, database, object storage, CRM and email, analytics and advertising, AI providers, admin tools, CI/CD and privileged management planes.</w:t>
      </w:r>
    </w:p>
    <w:p>
      <w:pPr>
        <w:pStyle w:val="ListBullet"/>
      </w:pPr>
      <w:r>
        <w:rPr>
          <w:b/>
        </w:rPr>
        <w:t xml:space="preserve">Mark trust boundaries and data classes.</w:t>
      </w:r>
      <w:r>
        <w:t xml:space="preserve"> Note which components are internet-facing, client-controlled, ITWM-controlled, third-party or privileged.</w:t>
      </w:r>
    </w:p>
    <w:p>
      <w:pPr>
        <w:pStyle w:val="ListBullet"/>
      </w:pPr>
      <w:r>
        <w:rPr>
          <w:b/>
        </w:rPr>
        <w:t xml:space="preserve">Apply STRIDE</w:t>
      </w:r>
      <w:r>
        <w:t xml:space="preserve"> to each entry point and important data flow: Spoofing, Tampering, Repudiation, Information disclosure, Denial of service, Elevation of privilege.</w:t>
      </w:r>
    </w:p>
    <w:p>
      <w:pPr>
        <w:pStyle w:val="ListBullet"/>
      </w:pPr>
      <w:r>
        <w:rPr>
          <w:b/>
        </w:rPr>
        <w:t xml:space="preserve">Add business abuse cases:</w:t>
      </w:r>
      <w:r>
        <w:t xml:space="preserve"> impersonating a solicitor or client, malicious document upload, payment-instruction redirection, scraping a high-value directory, exhausting AI spend, abusing password reset, accessing another tenant.</w:t>
      </w:r>
    </w:p>
    <w:p>
      <w:pPr>
        <w:pStyle w:val="ListBullet"/>
      </w:pPr>
      <w:r>
        <w:rPr>
          <w:b/>
        </w:rPr>
        <w:t xml:space="preserve">Record controls and owners</w:t>
      </w:r>
      <w:r>
        <w:t xml:space="preserve"> in the threat register (Appendix A). A threat closes when its control is implemented and verified, not when it is planned.</w:t>
      </w:r>
    </w:p>
    <w:p>
      <w:pPr>
        <w:pStyle w:val="ListBullet"/>
      </w:pPr>
      <w:r>
        <w:rPr>
          <w:b/>
        </w:rPr>
        <w:t xml:space="preserve">Revisit</w:t>
      </w:r>
      <w:r>
        <w:t xml:space="preserve"> after material architecture changes, new integrations, new data categories, new AI tooling, authentication changes or significant incidents.</w:t>
      </w:r>
    </w:p>
    <w:p>
      <w:r>
        <w:t xml:space="preserve">Acceptance: all internet-facing and privileged entry points and all Tier B/C personal-data flows represented; at least one abuse case for each of authentication, authorisation, forms and uploads, integrations and admin functions that exist; no Critical or High residual risk without release-gate approval; threat IDs referenced where they drive specific controls or tests.</w:t>
      </w:r>
    </w:p>
    <w:p>
      <w:pPr>
        <w:pStyle w:val="Heading2"/>
      </w:pPr>
      <w:r>
        <w:t xml:space="preserve">Data classification, privacy by design and retention</w:t>
      </w:r>
    </w:p>
    <w:p>
      <w:r>
        <w:t xml:space="preserve">Every Tier B/C project classifies its data and keeps a retention register (Appendix A). The aim is to reduce risk before controls are needed: don't collect, copy, log or keep what the service doesn't need.</w:t>
      </w:r>
    </w:p>
    <w:tbl>
      <w:tblPr>
        <w:tblStyle w:val="LightShading-Accent1"/>
        <w:tblW w:type="dxa" w:w="8640"/>
        <w:tblLook w:firstColumn="1" w:firstRow="1" w:lastColumn="0" w:lastRow="0" w:noHBand="0" w:noVBand="1" w:val="04A0"/>
      </w:tblPr>
      <w:tblGrid>
        <w:gridCol w:w="1700"/>
        <w:gridCol w:w="2700"/>
        <w:gridCol w:w="2000"/>
        <w:gridCol w:w="2240"/>
      </w:tblGrid>
      <w:tr>
        <w:trPr>
          <w:tblHeader/>
        </w:trPr>
        <w:tc>
          <w:tcPr>
            <w:tcW w:type="dxa" w:w="1700"/>
          </w:tcPr>
          <w:p>
            <w:r>
              <w:t xml:space="preserve">Class</w:t>
            </w:r>
          </w:p>
        </w:tc>
        <w:tc>
          <w:tcPr>
            <w:tcW w:type="dxa" w:w="2700"/>
          </w:tcPr>
          <w:p>
            <w:r>
              <w:t xml:space="preserve">Typical examples</w:t>
            </w:r>
          </w:p>
        </w:tc>
        <w:tc>
          <w:tcPr>
            <w:tcW w:type="dxa" w:w="2000"/>
          </w:tcPr>
          <w:p>
            <w:r>
              <w:t xml:space="preserve">Default handling</w:t>
            </w:r>
          </w:p>
        </w:tc>
        <w:tc>
          <w:tcPr>
            <w:tcW w:type="dxa" w:w="2240"/>
          </w:tcPr>
          <w:p>
            <w:r>
              <w:t xml:space="preserve">Extra controls</w:t>
            </w:r>
          </w:p>
        </w:tc>
      </w:tr>
      <w:tr>
        <w:tc>
          <w:tcPr>
            <w:tcW w:type="dxa" w:w="1700"/>
          </w:tcPr>
          <w:p>
            <w:r>
              <w:rPr>
                <w:color w:val="262626"/>
              </w:rPr>
              <w:t xml:space="preserve">Public</w:t>
            </w:r>
          </w:p>
        </w:tc>
        <w:tc>
          <w:tcPr>
            <w:tcW w:type="dxa" w:w="2700"/>
          </w:tcPr>
          <w:p>
            <w:r>
              <w:rPr>
                <w:color w:val="262626"/>
              </w:rPr>
              <w:t xml:space="preserve">Published content, public contact details</w:t>
            </w:r>
          </w:p>
        </w:tc>
        <w:tc>
          <w:tcPr>
            <w:tcW w:type="dxa" w:w="2000"/>
          </w:tcPr>
          <w:p>
            <w:r>
              <w:rPr>
                <w:color w:val="262626"/>
              </w:rPr>
              <w:t xml:space="preserve">May be published</w:t>
            </w:r>
          </w:p>
        </w:tc>
        <w:tc>
          <w:tcPr>
            <w:tcW w:type="dxa" w:w="2240"/>
          </w:tcPr>
          <w:p>
            <w:r>
              <w:rPr>
                <w:color w:val="262626"/>
              </w:rPr>
              <w:t xml:space="preserve">Integrity and change control</w:t>
            </w:r>
          </w:p>
        </w:tc>
      </w:tr>
      <w:tr>
        <w:tc>
          <w:tcPr>
            <w:tcW w:type="dxa" w:w="1700"/>
          </w:tcPr>
          <w:p>
            <w:r>
              <w:rPr>
                <w:color w:val="262626"/>
              </w:rPr>
              <w:t xml:space="preserve">Internal</w:t>
            </w:r>
          </w:p>
        </w:tc>
        <w:tc>
          <w:tcPr>
            <w:tcW w:type="dxa" w:w="2700"/>
          </w:tcPr>
          <w:p>
            <w:r>
              <w:rPr>
                <w:color w:val="262626"/>
              </w:rPr>
              <w:t xml:space="preserve">Drafts, routine operational data, project notes</w:t>
            </w:r>
          </w:p>
        </w:tc>
        <w:tc>
          <w:tcPr>
            <w:tcW w:type="dxa" w:w="2000"/>
          </w:tcPr>
          <w:p>
            <w:r>
              <w:rPr>
                <w:color w:val="262626"/>
              </w:rPr>
              <w:t xml:space="preserve">Authenticated business access</w:t>
            </w:r>
          </w:p>
        </w:tc>
        <w:tc>
          <w:tcPr>
            <w:tcW w:type="dxa" w:w="2240"/>
          </w:tcPr>
          <w:p>
            <w:r>
              <w:rPr>
                <w:color w:val="262626"/>
              </w:rPr>
              <w:t xml:space="preserve">Least privilege; no public links</w:t>
            </w:r>
          </w:p>
        </w:tc>
      </w:tr>
      <w:tr>
        <w:tc>
          <w:tcPr>
            <w:tcW w:type="dxa" w:w="1700"/>
          </w:tcPr>
          <w:p>
            <w:r>
              <w:rPr>
                <w:color w:val="262626"/>
              </w:rPr>
              <w:t xml:space="preserve">Confidential</w:t>
            </w:r>
          </w:p>
        </w:tc>
        <w:tc>
          <w:tcPr>
            <w:tcW w:type="dxa" w:w="2700"/>
          </w:tcPr>
          <w:p>
            <w:r>
              <w:rPr>
                <w:color w:val="262626"/>
              </w:rPr>
              <w:t xml:space="preserve">Enquiries, CRM records, contracts, account data</w:t>
            </w:r>
          </w:p>
        </w:tc>
        <w:tc>
          <w:tcPr>
            <w:tcW w:type="dxa" w:w="2000"/>
          </w:tcPr>
          <w:p>
            <w:r>
              <w:rPr>
                <w:color w:val="262626"/>
              </w:rPr>
              <w:t xml:space="preserve">Need-to-know; encrypted in transit and at rest</w:t>
            </w:r>
          </w:p>
        </w:tc>
        <w:tc>
          <w:tcPr>
            <w:tcW w:type="dxa" w:w="2240"/>
          </w:tcPr>
          <w:p>
            <w:r>
              <w:rPr>
                <w:color w:val="262626"/>
              </w:rPr>
              <w:t xml:space="preserve">Restricted logs, controlled exports, defined retention</w:t>
            </w:r>
          </w:p>
        </w:tc>
      </w:tr>
      <w:tr>
        <w:tc>
          <w:tcPr>
            <w:tcW w:type="dxa" w:w="1700"/>
          </w:tcPr>
          <w:p>
            <w:r>
              <w:rPr>
                <w:color w:val="262626"/>
              </w:rPr>
              <w:t xml:space="preserve">Highly Sensitive</w:t>
            </w:r>
          </w:p>
        </w:tc>
        <w:tc>
          <w:tcPr>
            <w:tcW w:type="dxa" w:w="2700"/>
          </w:tcPr>
          <w:p>
            <w:r>
              <w:rPr>
                <w:color w:val="262626"/>
              </w:rPr>
              <w:t xml:space="preserve">Health, identity documents, financial details, legal-matter information, credentials and keys</w:t>
            </w:r>
          </w:p>
        </w:tc>
        <w:tc>
          <w:tcPr>
            <w:tcW w:type="dxa" w:w="2000"/>
          </w:tcPr>
          <w:p>
            <w:r>
              <w:rPr>
                <w:color w:val="262626"/>
              </w:rPr>
              <w:t xml:space="preserve">Strongest controls; minimise collection</w:t>
            </w:r>
          </w:p>
        </w:tc>
        <w:tc>
          <w:tcPr>
            <w:tcW w:type="dxa" w:w="2240"/>
          </w:tcPr>
          <w:p>
            <w:r>
              <w:rPr>
                <w:color w:val="262626"/>
              </w:rPr>
              <w:t xml:space="preserve">Tier C treatment, secure upload, strict retention, independent testing</w:t>
            </w:r>
          </w:p>
        </w:tc>
      </w:tr>
    </w:tbl>
    <w:p/>
    <w:p>
      <w:r>
        <w:t xml:space="preserve">Privacy-by-design gate, answered at discovery and confirmed before release:</w:t>
      </w:r>
    </w:p>
    <w:p>
      <w:pPr>
        <w:pStyle w:val="ListBullet"/>
      </w:pPr>
      <w:r>
        <w:t xml:space="preserve">Do we need this exact field or event to deliver the service?</w:t>
      </w:r>
    </w:p>
    <w:p>
      <w:pPr>
        <w:pStyle w:val="ListBullet"/>
      </w:pPr>
      <w:r>
        <w:t xml:space="preserve">Can free text become structured choices, or can users be warned not to share sensitive details?</w:t>
      </w:r>
    </w:p>
    <w:p>
      <w:pPr>
        <w:pStyle w:val="ListBullet"/>
      </w:pPr>
      <w:r>
        <w:t xml:space="preserve">Can the purpose be met with aggregated, pseudonymised or de-identified data?</w:t>
      </w:r>
    </w:p>
    <w:p>
      <w:pPr>
        <w:pStyle w:val="ListBullet"/>
      </w:pPr>
      <w:r>
        <w:t xml:space="preserve">Who can access it, and does every recipient need it?</w:t>
      </w:r>
    </w:p>
    <w:p>
      <w:pPr>
        <w:pStyle w:val="ListBullet"/>
      </w:pPr>
      <w:r>
        <w:t xml:space="preserve">Which countries and vendors process or store it?</w:t>
      </w:r>
    </w:p>
    <w:p>
      <w:pPr>
        <w:pStyle w:val="ListBullet"/>
      </w:pPr>
      <w:r>
        <w:t xml:space="preserve">Do analytics, advertising, observability, session replay or AI receive any of it?</w:t>
      </w:r>
    </w:p>
    <w:p>
      <w:pPr>
        <w:pStyle w:val="ListBullet"/>
      </w:pPr>
      <w:r>
        <w:t xml:space="preserve">What triggers deletion, and how does it reach backups, the CRM and downstream processors?</w:t>
      </w:r>
    </w:p>
    <w:p>
      <w:pPr>
        <w:pStyle w:val="ListBullet"/>
      </w:pPr>
      <w:r>
        <w:t xml:space="preserve">Is the collection notice and privacy policy accurate for this data flow?</w:t>
      </w:r>
    </w:p>
    <w:p>
      <w:r>
        <w:t xml:space="preserve">Release rule: Tier B/C projects don't launch with an undefined retention period for Confidential or Highly Sensitive data unless a time-bound exception is approved.</w:t>
      </w:r>
    </w:p>
    <w:p>
      <w:pPr>
        <w:pStyle w:val="Heading2"/>
      </w:pPr>
      <w:r>
        <w:t xml:space="preserve">Vendor and SaaS assessment</w:t>
      </w:r>
    </w:p>
    <w:p>
      <w:r>
        <w:t xml:space="preserve">Before adding a vendor that receives Confidential or Highly Sensitive data, authenticates users, sends email, processes payments, hosts production code or data, or can perform privileged actions, record a proportionate assessment (Appendix A) covering: purpose and whether the data can be withheld; data categories; processing location and subprocessors; named users, roles, MFA/SSO and audit logs; encryption and key handling; retention, deletion and export; breach notification commitments; security assurance (certifications, pen-test summaries, disclosure channel); continuity and exit; and, for AI providers, training on submitted data, models and subprocessors used, and whether training and retention can be disabled. High-risk gaps need a compensating control, client acceptance or an alternative vendor before release.</w:t>
      </w:r>
    </w:p>
    <w:p>
      <w:pPr>
        <w:pStyle w:val="Heading2"/>
      </w:pPr>
      <w:r>
        <w:t xml:space="preserve">Vulnerability management</w:t>
      </w:r>
    </w:p>
    <w:p>
      <w:pPr>
        <w:pStyle w:val="ListBullet"/>
      </w:pPr>
      <w:r>
        <w:rPr>
          <w:b/>
        </w:rPr>
        <w:t xml:space="preserve">Discover:</w:t>
      </w:r>
      <w:r>
        <w:t xml:space="preserve"> scanner, advisory, code review, pen test, client report, security.txt report or incident.</w:t>
      </w:r>
    </w:p>
    <w:p>
      <w:pPr>
        <w:pStyle w:val="ListBullet"/>
      </w:pPr>
      <w:r>
        <w:rPr>
          <w:b/>
        </w:rPr>
        <w:t xml:space="preserve">Validate:</w:t>
      </w:r>
      <w:r>
        <w:t xml:space="preserve"> confirm the affected component, version and route, and whether it's reachable and exploitable in this deployment.</w:t>
      </w:r>
    </w:p>
    <w:p>
      <w:pPr>
        <w:pStyle w:val="ListBullet"/>
      </w:pPr>
      <w:r>
        <w:rPr>
          <w:b/>
        </w:rPr>
        <w:t xml:space="preserve">Rate severity</w:t>
      </w:r>
      <w:r>
        <w:t xml:space="preserve"> (Critical, High, Medium, Low) using exploitability, data and privilege impact, exposure, compensating controls and active exploitation. CVSS informs but doesn't replace business context.</w:t>
      </w:r>
    </w:p>
    <w:p>
      <w:pPr>
        <w:pStyle w:val="ListBullet"/>
      </w:pPr>
      <w:r>
        <w:rPr>
          <w:b/>
        </w:rPr>
        <w:t xml:space="preserve">Assign</w:t>
      </w:r>
      <w:r>
        <w:t xml:space="preserve"> a named owner and a target date in line with section 8.</w:t>
      </w:r>
    </w:p>
    <w:p>
      <w:pPr>
        <w:pStyle w:val="ListBullet"/>
      </w:pPr>
      <w:r>
        <w:rPr>
          <w:b/>
        </w:rPr>
        <w:t xml:space="preserve">Remediate or mitigate:</w:t>
      </w:r>
      <w:r>
        <w:t xml:space="preserve"> patch, reconfigure, isolate, disable, rate-limit or revoke credentials.</w:t>
      </w:r>
    </w:p>
    <w:p>
      <w:pPr>
        <w:pStyle w:val="ListBullet"/>
      </w:pPr>
      <w:r>
        <w:rPr>
          <w:b/>
        </w:rPr>
        <w:t xml:space="preserve">Retest</w:t>
      </w:r>
      <w:r>
        <w:t xml:space="preserve"> the fix in a production-like environment and check for regressions.</w:t>
      </w:r>
    </w:p>
    <w:p>
      <w:pPr>
        <w:pStyle w:val="ListBullet"/>
      </w:pPr>
      <w:r>
        <w:rPr>
          <w:b/>
        </w:rPr>
        <w:t xml:space="preserve">Close</w:t>
      </w:r>
      <w:r>
        <w:t xml:space="preserve"> with evidence, or with time-bound risk acceptance (justification, compensating controls, expiry, approver). Record everything in the vulnerability register (Appendix A).</w:t>
      </w:r>
    </w:p>
    <w:p>
      <w:pPr>
        <w:pStyle w:val="Heading2"/>
      </w:pPr>
      <w:r>
        <w:t xml:space="preserve">Incident response</w:t>
      </w:r>
    </w:p>
    <w:p>
      <w:pPr>
        <w:pStyle w:val="ListBullet"/>
      </w:pPr>
      <w:r>
        <w:rPr>
          <w:b/>
        </w:rPr>
        <w:t xml:space="preserve">Triage and classify:</w:t>
      </w:r>
      <w:r>
        <w:t xml:space="preserve"> availability, account compromise, data exposure, malicious upload, supply-chain compromise, domain or email hijack, payment redirection, AI or tool misuse, or other.</w:t>
      </w:r>
    </w:p>
    <w:p>
      <w:pPr>
        <w:pStyle w:val="ListBullet"/>
      </w:pPr>
      <w:r>
        <w:rPr>
          <w:b/>
        </w:rPr>
        <w:t xml:space="preserve">Contain:</w:t>
      </w:r>
      <w:r>
        <w:t xml:space="preserve"> revoke or rotate credentials, disable affected integrations or features, block malicious indicators and isolate systems without destroying evidence.</w:t>
      </w:r>
    </w:p>
    <w:p>
      <w:pPr>
        <w:pStyle w:val="ListBullet"/>
      </w:pPr>
      <w:r>
        <w:rPr>
          <w:b/>
        </w:rPr>
        <w:t xml:space="preserve">Preserve evidence:</w:t>
      </w:r>
      <w:r>
        <w:t xml:space="preserve"> logs, timestamps, deployment and version details, access history and malicious payloads where safe and lawful.</w:t>
      </w:r>
    </w:p>
    <w:p>
      <w:pPr>
        <w:pStyle w:val="ListBullet"/>
      </w:pPr>
      <w:r>
        <w:rPr>
          <w:b/>
        </w:rPr>
        <w:t xml:space="preserve">Notify</w:t>
      </w:r>
      <w:r>
        <w:t xml:space="preserve"> the ITWM incident lead and the client contact under the contract terms (target within 24 hours of becoming aware; section 6). Escalate to legal, privacy or regulatory specialists where obligations may apply.</w:t>
      </w:r>
    </w:p>
    <w:p>
      <w:pPr>
        <w:pStyle w:val="ListBullet"/>
      </w:pPr>
      <w:r>
        <w:rPr>
          <w:b/>
        </w:rPr>
        <w:t xml:space="preserve">Eradicate and recover:</w:t>
      </w:r>
      <w:r>
        <w:t xml:space="preserve"> fix the root cause, restore from a known-good state if needed, verify access controls and monitor for recurrence.</w:t>
      </w:r>
    </w:p>
    <w:p>
      <w:pPr>
        <w:pStyle w:val="ListBullet"/>
      </w:pPr>
      <w:r>
        <w:rPr>
          <w:b/>
        </w:rPr>
        <w:t xml:space="preserve">Review:</w:t>
      </w:r>
      <w:r>
        <w:t xml:space="preserve"> root cause, control failures, timeline and lessons; update the threat model, evidence register and this framework. Record in an incident record (Appendix A).</w:t>
      </w:r>
    </w:p>
    <w:p>
      <w:pPr>
        <w:pStyle w:val="Heading2"/>
      </w:pPr>
      <w:r>
        <w:t xml:space="preserve">Developer competency</w:t>
      </w:r>
    </w:p>
    <w:p>
      <w:r>
        <w:t xml:space="preserve">Anyone approving security-sensitive changes on Tier B/C work completes ITWM secure-development onboarding first, with an annual refresher and refreshers after material framework changes. Contractors receive equivalent project-specific onboarding. Onboarding covers: this framework and the project's tier and evidence; Next.js Server Actions and Route Handlers as public endpoints, server-only boundaries, caching and preview/production separation; the relevant OWASP risks (access control, injection, XSS, CSRF, SSRF, authentication and sessions, file handling, supply chain); the password manager and how to report a suspected credential leak at once; and the incident reporting path, including that suspected incidents are never fixed quietly without escalation. Keep a competency register (Appendix A) with each person's approved scope, for example Tier A only, Tier B developer or Tier C reviewer.</w:t>
      </w:r>
    </w:p>
    <w:p>
      <w:pPr>
        <w:pStyle w:val="Heading1"/>
      </w:pPr>
      <w:r>
        <w:t xml:space="preserve">6. Australian privacy and regulatory considerations</w:t>
      </w:r>
    </w:p>
    <w:p>
      <w:r>
        <w:t xml:space="preserve">This section flags obligations to check; it isn't legal advice. Get specialist advice for regulated data or complex interpretations, and confirm the client's own obligations with the client.</w:t>
      </w:r>
    </w:p>
    <w:p>
      <w:pPr>
        <w:pStyle w:val="Heading2"/>
      </w:pPr>
      <w:r>
        <w:t xml:space="preserve">Privacy Act and Australian Privacy Principles</w:t>
      </w:r>
    </w:p>
    <w:p>
      <w:r>
        <w:t xml:space="preserve">Assess whether the client is an APP entity. Businesses with annual turnover of A$3 million or less are generally exempt, but not health service providers, businesses that trade in personal information, credit reporting bodies and some others, and clients can opt in. Don't assume a small client is exempt; record the basis. Document personal information collection, collection notices (APP 5), consent for sensitive information, use and disclosure, security, retention, access and correction, and overseas recipients. APP 11 requires reasonable steps to protect personal information and to destroy or de-identify it when no longer needed, subject to exceptions.</w:t>
      </w:r>
    </w:p>
    <w:p>
      <w:pPr>
        <w:pStyle w:val="Heading2"/>
      </w:pPr>
      <w:r>
        <w:t xml:space="preserve">Reforms already in force (tranche 1)</w:t>
      </w:r>
    </w:p>
    <w:p>
      <w:pPr>
        <w:pStyle w:val="ListBullet"/>
      </w:pPr>
      <w:r>
        <w:rPr>
          <w:b/>
        </w:rPr>
        <w:t xml:space="preserve">Privacy policy enforcement:</w:t>
      </w:r>
      <w:r>
        <w:t xml:space="preserve"> the OAIC can issue infringement notices for privacy policies that don't contain the information APP 1 requires. Review the website privacy policy at every build and redesign.</w:t>
      </w:r>
    </w:p>
    <w:p>
      <w:pPr>
        <w:pStyle w:val="ListBullet"/>
      </w:pPr>
      <w:r>
        <w:rPr>
          <w:b/>
        </w:rPr>
        <w:t xml:space="preserve">Statutory tort for serious invasions of privacy</w:t>
      </w:r>
      <w:r>
        <w:t xml:space="preserve"> (in force since June 2025): individuals can sue for serious, intentional or reckless invasions of privacy, including misuse of information.</w:t>
      </w:r>
    </w:p>
    <w:p>
      <w:pPr>
        <w:pStyle w:val="ListBullet"/>
      </w:pPr>
      <w:r>
        <w:rPr>
          <w:b/>
        </w:rPr>
        <w:t xml:space="preserve">APP 11 clarified:</w:t>
      </w:r>
      <w:r>
        <w:t xml:space="preserve"> "reasonable steps" expressly includes technical and organisational measures, such as the controls in this framework.</w:t>
      </w:r>
    </w:p>
    <w:p>
      <w:pPr>
        <w:pStyle w:val="ListBullet"/>
      </w:pPr>
      <w:r>
        <w:rPr>
          <w:b/>
        </w:rPr>
        <w:t xml:space="preserve">Automated decision-making transparency</w:t>
      </w:r>
      <w:r>
        <w:t xml:space="preserve"> (from 10 December 2026): APP entities must disclose in their privacy policy where a computer program uses personal information to make, or do something substantially and directly related to making, decisions that could reasonably be expected to significantly affect an individual's rights or interests. Examples include AI-driven lead scoring, eligibility checkers, quote calculators and pre-qualification tools (control 21).</w:t>
      </w:r>
    </w:p>
    <w:p>
      <w:pPr>
        <w:pStyle w:val="Heading2"/>
      </w:pPr>
      <w:r>
        <w:t xml:space="preserve">Reforms proposed (tranche 2)</w:t>
      </w:r>
    </w:p>
    <w:p>
      <w:r>
        <w:t xml:space="preserve">Not law as at 17 October 2026. The exposure draft Privacy Amendment (Personal Data Protection) Bill 2026 was released by the Attorney-General's Department on 31 August 2026, and consultation closed on 18 September 2026. It proposes: a "fair and reasonable" test for collection, use and disclosure; broader definitions of "collect" (including derived and inferred information) and "disclose"; precise geolocation data as sensitive information; clearer, concise collection notices; defined direct-marketing opt-outs and consent for trading in personal information; regular assessment of APP 11 compliance; and notifying the OAIC of eligible data breaches within 72 hours. Most obligations would likely have deferred commencement. The draft doesn't remove the small business exemption. Design with this direction in mind.</w:t>
      </w:r>
    </w:p>
    <w:p>
      <w:pPr>
        <w:pStyle w:val="Heading2"/>
      </w:pPr>
      <w:r>
        <w:t xml:space="preserve">Notifiable Data Breaches scheme</w:t>
      </w:r>
    </w:p>
    <w:p>
      <w:r>
        <w:t xml:space="preserve">Determine whether the client is subject to the NDB scheme and agree in the contract who assesses a suspected breach, how fast ITWM tells the client and who notifies. ITWM commits to notifying the client promptly (target within 24 hours of becoming aware) so the client can meet its own assessment timeframe. Don't promise that every incident must be reported.</w:t>
      </w:r>
    </w:p>
    <w:p>
      <w:pPr>
        <w:pStyle w:val="Heading2"/>
      </w:pPr>
      <w:r>
        <w:t xml:space="preserve">Ransomware payment reporting</w:t>
      </w:r>
    </w:p>
    <w:p>
      <w:r>
        <w:t xml:space="preserve">Under the Cyber Security Act 2024, businesses with annual turnover above A$3 million that make or know of a ransomware or cyber-extortion payment must report it to the Australian Signals Directorate within 72 hours. Include this in incident playbooks for larger clients.</w:t>
      </w:r>
    </w:p>
    <w:p>
      <w:pPr>
        <w:pStyle w:val="Heading2"/>
      </w:pPr>
      <w:r>
        <w:t xml:space="preserve">Marketing and tracking</w:t>
      </w:r>
    </w:p>
    <w:p>
      <w:r>
        <w:t xml:space="preserve">Review Spam Act obligations for commercial electronic messages, including consent and functional unsubscribe. Disclose tracking and third-party analytics and advertising in the privacy policy. Australia has no general cookie-banner law, but overseas rules (for example GDPR) can apply to clients targeting those markets, and sending identifiable data to ad platforms is a disclosure of personal information under the Privacy Act (control 20).</w:t>
      </w:r>
    </w:p>
    <w:p>
      <w:pPr>
        <w:pStyle w:val="Heading2"/>
      </w:pPr>
      <w:r>
        <w:t xml:space="preserve">Sector-specific obligations for ITWM's core clients</w:t>
      </w:r>
    </w:p>
    <w:tbl>
      <w:tblPr>
        <w:tblStyle w:val="LightShading-Accent1"/>
        <w:tblW w:type="dxa" w:w="8640"/>
        <w:tblLook w:firstColumn="1" w:firstRow="1" w:lastColumn="0" w:lastRow="0" w:noHBand="0" w:noVBand="1" w:val="04A0"/>
      </w:tblPr>
      <w:tblGrid>
        <w:gridCol w:w="2400"/>
        <w:gridCol w:w="6240"/>
      </w:tblGrid>
      <w:tr>
        <w:trPr>
          <w:tblHeader/>
        </w:trPr>
        <w:tc>
          <w:tcPr>
            <w:tcW w:type="dxa" w:w="2400"/>
          </w:tcPr>
          <w:p>
            <w:r>
              <w:t xml:space="preserve">Client type</w:t>
            </w:r>
          </w:p>
        </w:tc>
        <w:tc>
          <w:tcPr>
            <w:tcW w:type="dxa" w:w="6240"/>
          </w:tcPr>
          <w:p>
            <w:r>
              <w:t xml:space="preserve">Additional considerations</w:t>
            </w:r>
          </w:p>
        </w:tc>
      </w:tr>
      <w:tr>
        <w:tc>
          <w:tcPr>
            <w:tcW w:type="dxa" w:w="2400"/>
          </w:tcPr>
          <w:p>
            <w:r>
              <w:rPr>
                <w:color w:val="262626"/>
              </w:rPr>
              <w:t xml:space="preserve">Law firms</w:t>
            </w:r>
          </w:p>
        </w:tc>
        <w:tc>
          <w:tcPr>
            <w:tcW w:type="dxa" w:w="6240"/>
          </w:tcPr>
          <w:p>
            <w:r>
              <w:rPr>
                <w:color w:val="262626"/>
              </w:rPr>
              <w:t xml:space="preserve">Professional confidentiality and legal professional privilege; state law society and conduct rules on advertising and client information; matter details in enquiry forms are confidential from first contact.</w:t>
            </w:r>
          </w:p>
        </w:tc>
      </w:tr>
      <w:tr>
        <w:tc>
          <w:tcPr>
            <w:tcW w:type="dxa" w:w="2400"/>
          </w:tcPr>
          <w:p>
            <w:r>
              <w:rPr>
                <w:color w:val="262626"/>
              </w:rPr>
              <w:t xml:space="preserve">Accountants and tax agents</w:t>
            </w:r>
          </w:p>
        </w:tc>
        <w:tc>
          <w:tcPr>
            <w:tcW w:type="dxa" w:w="6240"/>
          </w:tcPr>
          <w:p>
            <w:r>
              <w:rPr>
                <w:color w:val="262626"/>
              </w:rPr>
              <w:t xml:space="preserve">Tax Practitioners Board Code of Professional Conduct, including confidentiality and maintaining systems; tax file numbers must never be collected through website forms.</w:t>
            </w:r>
          </w:p>
        </w:tc>
      </w:tr>
      <w:tr>
        <w:tc>
          <w:tcPr>
            <w:tcW w:type="dxa" w:w="2400"/>
          </w:tcPr>
          <w:p>
            <w:r>
              <w:rPr>
                <w:color w:val="262626"/>
              </w:rPr>
              <w:t xml:space="preserve">Financial planners (AFSL holders)</w:t>
            </w:r>
          </w:p>
        </w:tc>
        <w:tc>
          <w:tcPr>
            <w:tcW w:type="dxa" w:w="6240"/>
          </w:tcPr>
          <w:p>
            <w:r>
              <w:rPr>
                <w:color w:val="262626"/>
              </w:rPr>
              <w:t xml:space="preserve">ASIC expects licensees to manage cybersecurity risk as part of their general licensee obligations (ASIC v RI Advice, 2022); advertising and general-advice warnings; APRA CPS 234 if the client is APRA-regulated.</w:t>
            </w:r>
          </w:p>
        </w:tc>
      </w:tr>
      <w:tr>
        <w:tc>
          <w:tcPr>
            <w:tcW w:type="dxa" w:w="2400"/>
          </w:tcPr>
          <w:p>
            <w:r>
              <w:rPr>
                <w:color w:val="262626"/>
              </w:rPr>
              <w:t xml:space="preserve">Mortgage and finance brokers (ACL holders)</w:t>
            </w:r>
          </w:p>
        </w:tc>
        <w:tc>
          <w:tcPr>
            <w:tcW w:type="dxa" w:w="6240"/>
          </w:tcPr>
          <w:p>
            <w:r>
              <w:rPr>
                <w:color w:val="262626"/>
              </w:rPr>
              <w:t xml:space="preserve">Responsible lending and credit advertising rules; credit reporting provisions (Privacy Act Part IIIA) if credit information is handled; identity documents go through secure channels, not open forms.</w:t>
            </w:r>
          </w:p>
        </w:tc>
      </w:tr>
      <w:tr>
        <w:tc>
          <w:tcPr>
            <w:tcW w:type="dxa" w:w="2400"/>
          </w:tcPr>
          <w:p>
            <w:r>
              <w:rPr>
                <w:color w:val="262626"/>
              </w:rPr>
              <w:t xml:space="preserve">Health and allied health</w:t>
            </w:r>
          </w:p>
        </w:tc>
        <w:tc>
          <w:tcPr>
            <w:tcW w:type="dxa" w:w="6240"/>
          </w:tcPr>
          <w:p>
            <w:r>
              <w:rPr>
                <w:color w:val="262626"/>
              </w:rPr>
              <w:t xml:space="preserve">Health information is sensitive information and the small business exemption doesn't apply; state health records laws may also apply.</w:t>
            </w:r>
          </w:p>
        </w:tc>
      </w:tr>
    </w:tbl>
    <w:p/>
    <w:p>
      <w:pPr>
        <w:pStyle w:val="Heading2"/>
      </w:pPr>
      <w:r>
        <w:t xml:space="preserve">Data residency and vendors</w:t>
      </w:r>
    </w:p>
    <w:p>
      <w:r>
        <w:t xml:space="preserve">Document where hosting, serverless functions, backups, analytics, CRM, email and AI providers process data. Vercel and many SaaS tools process data offshore by default; configure Australian regions where available and disclose overseas recipients in the privacy policy (APP 8). Material vendors follow the assessment in section 5.</w:t>
      </w:r>
    </w:p>
    <w:p>
      <w:pPr>
        <w:pStyle w:val="Heading1"/>
      </w:pPr>
      <w:r>
        <w:t xml:space="preserve">7. Checklists and production release gate</w:t>
      </w:r>
    </w:p>
    <w:p>
      <w:pPr>
        <w:pStyle w:val="Heading2"/>
      </w:pPr>
      <w:r>
        <w:t xml:space="preserve">Tier A checklist</w:t>
      </w:r>
    </w:p>
    <w:p>
      <w:r>
        <w:t xml:space="preserve">The minimum for every site, including brochure sites. Tier B and C sites complete this and the Tier B/C checklist.</w:t>
      </w:r>
    </w:p>
    <w:p>
      <w:r>
        <w:t xml:space="preserve">☐  Domain, registrar, DNS, hosting team and Tag Manager owned by the client; ITWM added as a user</w:t>
      </w:r>
    </w:p>
    <w:p>
      <w:r>
        <w:t xml:space="preserve">☐  MFA on registrar, DNS, hosting, GitHub and Tag Manager accounts</w:t>
      </w:r>
    </w:p>
    <w:p>
      <w:r>
        <w:t xml:space="preserve">☐  Registrar lock on; no dangling DNS records; CAA records set</w:t>
      </w:r>
    </w:p>
    <w:p>
      <w:r>
        <w:t xml:space="preserve">☐  SPF, DKIM and DMARC published; DMARC plan towards p=reject</w:t>
      </w:r>
    </w:p>
    <w:p>
      <w:r>
        <w:t xml:space="preserve">☐  HTTPS enforced; HSTS on; certificate monitoring active</w:t>
      </w:r>
    </w:p>
    <w:p>
      <w:r>
        <w:t xml:space="preserve">☐  Security headers set; X-Powered-By off; allowlist CSP with frame-ancestors</w:t>
      </w:r>
    </w:p>
    <w:p>
      <w:r>
        <w:t xml:space="preserve">☐  Next.js and dependencies on a patched release; Dependabot or Renovate enabled</w:t>
      </w:r>
    </w:p>
    <w:p>
      <w:r>
        <w:t xml:space="preserve">☐  No secrets in NEXT_PUBLIC_ variables, the repository or client bundles</w:t>
      </w:r>
    </w:p>
    <w:p>
      <w:r>
        <w:t xml:space="preserve">☐  Preview deployments protected; production source maps off</w:t>
      </w:r>
    </w:p>
    <w:p>
      <w:r>
        <w:t xml:space="preserve">☐  Forms: bot protection, server-side validation, no free text (or the site is Tier B)</w:t>
      </w:r>
    </w:p>
    <w:p>
      <w:r>
        <w:t xml:space="preserve">☐  Tag inventory recorded; no form data or URL personal information sent to pixels</w:t>
      </w:r>
    </w:p>
    <w:p>
      <w:r>
        <w:t xml:space="preserve">☐  Privacy policy and collection notice reviewed against APP 1 and APP 5</w:t>
      </w:r>
    </w:p>
    <w:p>
      <w:r>
        <w:t xml:space="preserve">☐  Uptime monitoring and security.txt live</w:t>
      </w:r>
    </w:p>
    <w:p>
      <w:r>
        <w:t xml:space="preserve">☐  Content and configuration backed up and restore tested</w:t>
      </w:r>
    </w:p>
    <w:p>
      <w:r>
        <w:t xml:space="preserve">☐  Maintenance agreement signed, or handover letter confirming the client owns patching</w:t>
      </w:r>
    </w:p>
    <w:p>
      <w:pPr>
        <w:pStyle w:val="Heading2"/>
      </w:pPr>
      <w:r>
        <w:t xml:space="preserve">Tier B/C pre-launch checklist</w:t>
      </w:r>
    </w:p>
    <w:p>
      <w:r>
        <w:t xml:space="preserve">☐  Tier, scope, architecture and data-flow diagram approved and current</w:t>
      </w:r>
    </w:p>
    <w:p>
      <w:r>
        <w:t xml:space="preserve">☐  Threat model complete to tier (Tier C independently reviewed)</w:t>
      </w:r>
    </w:p>
    <w:p>
      <w:r>
        <w:t xml:space="preserve">☐  ASVS applicability register complete at the tier's level</w:t>
      </w:r>
    </w:p>
    <w:p>
      <w:r>
        <w:t xml:space="preserve">☐  Data classification and retention register approved; privacy-by-design questions answered</w:t>
      </w:r>
    </w:p>
    <w:p>
      <w:r>
        <w:t xml:space="preserve">☐  Client ownership of domain, registrar, DNS, hosting, repository, Tag Manager and relevant SaaS confirmed; access register complete</w:t>
      </w:r>
    </w:p>
    <w:p>
      <w:r>
        <w:t xml:space="preserve">☐  MFA on all privileged and infrastructure accounts; recovery and step-up actions tested</w:t>
      </w:r>
    </w:p>
    <w:p>
      <w:r>
        <w:t xml:space="preserve">☐  Permissions matrix tested server-side, including direct calls to every Server Action and Route Handler and middleware bypass</w:t>
      </w:r>
    </w:p>
    <w:p>
      <w:r>
        <w:t xml:space="preserve">☐  Input, file-upload, injection, XSS, CSRF/CORS, SSRF and API tests passed</w:t>
      </w:r>
    </w:p>
    <w:p>
      <w:r>
        <w:t xml:space="preserve">☐  Session and token expiry and revocation tested</w:t>
      </w:r>
    </w:p>
    <w:p>
      <w:r>
        <w:t xml:space="preserve">☐  Security headers, CSP and cache behaviour verified in a production-like environment</w:t>
      </w:r>
    </w:p>
    <w:p>
      <w:r>
        <w:t xml:space="preserve">☐  No secrets in client bundles, source, logs or preview environments; key inventory reviewed</w:t>
      </w:r>
    </w:p>
    <w:p>
      <w:r>
        <w:t xml:space="preserve">☐  CI/CD controls in place; dependency, secret and SAST scans clean or accepted; SBOM where required</w:t>
      </w:r>
    </w:p>
    <w:p>
      <w:r>
        <w:t xml:space="preserve">☐  Vendor assessments complete; AI evaluations complete where applicable</w:t>
      </w:r>
    </w:p>
    <w:p>
      <w:r>
        <w:t xml:space="preserve">☐  Domain lock, DNS records, SPF, DKIM and DMARC verified</w:t>
      </w:r>
    </w:p>
    <w:p>
      <w:r>
        <w:t xml:space="preserve">☐  Forms, notification emails, exports and retention checked; tag and pixel payloads reviewed</w:t>
      </w:r>
    </w:p>
    <w:p>
      <w:r>
        <w:t xml:space="preserve">☐  Logging, error responses, alert routing and incident contacts tested</w:t>
      </w:r>
    </w:p>
    <w:p>
      <w:r>
        <w:t xml:space="preserve">☐  Backup restore demonstrated and RPO/RTO recorded; Tier C isolation confirmed</w:t>
      </w:r>
    </w:p>
    <w:p>
      <w:r>
        <w:t xml:space="preserve">☐  Privacy policy, collection notices and automated-decision disclosures (from 10 December 2026) approved by client</w:t>
      </w:r>
    </w:p>
    <w:p>
      <w:r>
        <w:t xml:space="preserve">☐  Tier C penetration test complete and Critical/High findings retested or accepted</w:t>
      </w:r>
    </w:p>
    <w:p>
      <w:r>
        <w:t xml:space="preserve">☐  Handover pack ready; maintenance agreement or responsibility handover signed</w:t>
      </w:r>
    </w:p>
    <w:p>
      <w:pPr>
        <w:pStyle w:val="Heading2"/>
      </w:pPr>
      <w:r>
        <w:t xml:space="preserve">Production release gate</w:t>
      </w:r>
    </w:p>
    <w:p>
      <w:r>
        <w:t xml:space="preserve">A Tier B/C release goes live only when all of these hold:</w:t>
      </w:r>
    </w:p>
    <w:p>
      <w:pPr>
        <w:pStyle w:val="ListBullet"/>
      </w:pPr>
      <w:r>
        <w:t xml:space="preserve">No unresolved Critical security finding.</w:t>
      </w:r>
    </w:p>
    <w:p>
      <w:pPr>
        <w:pStyle w:val="ListBullet"/>
      </w:pPr>
      <w:r>
        <w:t xml:space="preserve">No unresolved High finding unless the ITWM director and the client explicitly accept the documented residual risk with an expiry date; Tier C also needs independent reviewer sign-off.</w:t>
      </w:r>
    </w:p>
    <w:p>
      <w:pPr>
        <w:pStyle w:val="ListBullet"/>
      </w:pPr>
      <w:r>
        <w:t xml:space="preserve">Every mandatory control for the tier has evidence or an approved exception.</w:t>
      </w:r>
    </w:p>
    <w:p>
      <w:pPr>
        <w:pStyle w:val="ListBullet"/>
      </w:pPr>
      <w:r>
        <w:t xml:space="preserve">The Tier B/C pre-launch checklist is complete.</w:t>
      </w:r>
    </w:p>
    <w:p>
      <w:pPr>
        <w:pStyle w:val="ListBullet"/>
      </w:pPr>
      <w:r>
        <w:t xml:space="preserve">The production owner signs and dates the release record (Appendix A), identifying the application version or commit and the framework version.</w:t>
      </w:r>
    </w:p>
    <w:p>
      <w:pPr>
        <w:pStyle w:val="Heading1"/>
      </w:pPr>
      <w:r>
        <w:t xml:space="preserve">8. Ongoing maintenance and service levels</w:t>
      </w:r>
    </w:p>
    <w:p>
      <w:r>
        <w:t xml:space="preserve">Agree the service schedule with the client in writing. Suggested starting point:</w:t>
      </w:r>
    </w:p>
    <w:p>
      <w:pPr>
        <w:pStyle w:val="ListBullet"/>
      </w:pPr>
      <w:r>
        <w:t xml:space="preserve">Monitor critical alerts continuously through a managed service.</w:t>
      </w:r>
    </w:p>
    <w:p>
      <w:pPr>
        <w:pStyle w:val="ListBullet"/>
      </w:pPr>
      <w:r>
        <w:t xml:space="preserve">Critical framework vulnerabilities with known exploitation (for example in Next.js or React): assess within 24 hours, patch or mitigate within 48 hours.</w:t>
      </w:r>
    </w:p>
    <w:p>
      <w:pPr>
        <w:pStyle w:val="ListBullet"/>
      </w:pPr>
      <w:r>
        <w:t xml:space="preserve">Other critical exploitable issues: triage within 24 hours. High-risk findings: within 3 business days. Others: by risk.</w:t>
      </w:r>
    </w:p>
    <w:p>
      <w:pPr>
        <w:pStyle w:val="ListBullet"/>
      </w:pPr>
      <w:r>
        <w:t xml:space="preserve">Review dependencies at least monthly; review privileged access, the tag inventory and DMARC reports quarterly.</w:t>
      </w:r>
    </w:p>
    <w:p>
      <w:pPr>
        <w:pStyle w:val="ListBullet"/>
      </w:pPr>
      <w:r>
        <w:t xml:space="preserve">Test restores at least quarterly for Tier C and after major changes.</w:t>
      </w:r>
    </w:p>
    <w:p>
      <w:r>
        <w:t xml:space="preserve">These are proposed contractual targets, not guaranteed remediation windows. All findings follow the vulnerability workflow in section 5. Specify service hours, response versus resolution targets, emergency contacts, patch approval, backup retention, incident communications, change requests, warranty exclusions and end-of-contract data export and deletion.</w:t>
      </w:r>
    </w:p>
    <w:p>
      <w:pPr>
        <w:pStyle w:val="Heading2"/>
      </w:pPr>
      <w:r>
        <w:t xml:space="preserve">When there's no maintenance agreement</w:t>
      </w:r>
    </w:p>
    <w:p>
      <w:r>
        <w:t xml:space="preserve">Websites need ongoing patching; an unpatched site becomes insecure over time. If the client declines a maintenance agreement, ITWM's security responsibility ends at handover. Confirm this in a signed handover letter stating that the client is responsible for updates, monitoring and incident response from that date, and remove or reduce ITWM's access accordingly.</w:t>
      </w:r>
    </w:p>
    <w:p>
      <w:pPr>
        <w:pStyle w:val="Heading2"/>
      </w:pPr>
      <w:r>
        <w:t xml:space="preserve">Contract and insurance</w:t>
      </w:r>
    </w:p>
    <w:p>
      <w:r>
        <w:t xml:space="preserve">Check that professional indemnity and cyber insurance cover the services ITWM provides under this framework, including hosting management and AI features. Have a lawyer review limitation of liability, security warranties and incident notification clauses in client agreements so they match what this framework commits to.</w:t>
      </w:r>
    </w:p>
    <w:p>
      <w:pPr>
        <w:pStyle w:val="Heading1"/>
      </w:pPr>
      <w:r>
        <w:t xml:space="preserve">9. Client handover pack</w:t>
      </w:r>
    </w:p>
    <w:p>
      <w:r>
        <w:t xml:space="preserve">Provide: architecture and deployment diagrams; asset and vendor inventory; confirmation that the client owns the domain, registrar, DNS, hosting team, repository and Tag Manager container; access register; tag inventory; DNS and email authentication records; administrator training; recovery procedures; backup policy; incident contacts; security test report; open-risk register; privacy, data-flow and retention summary; AI feature data-flow summary where relevant; licence and dependency information; and the maintenance agreement or handover letter. Transfer credentials through the password manager, never by email or attachment.</w:t>
      </w:r>
    </w:p>
    <w:p>
      <w:pPr>
        <w:pStyle w:val="Heading1"/>
      </w:pPr>
      <w:r>
        <w:t xml:space="preserve">10. Standards and references</w:t>
      </w:r>
    </w:p>
    <w:p>
      <w:r>
        <w:t xml:space="preserve">Check these at each framework review; standards, platform behaviour and Australian law change.</w:t>
      </w:r>
    </w:p>
    <w:p>
      <w:pPr>
        <w:pStyle w:val="ListBullet"/>
      </w:pPr>
      <w:r>
        <w:t xml:space="preserve">OWASP ASVS 5.0.0: https://owasp.org/www-project-application-security-verification-standard/ (requirements: https://github.com/OWASP/ASVS)</w:t>
      </w:r>
    </w:p>
    <w:p>
      <w:pPr>
        <w:pStyle w:val="ListBullet"/>
      </w:pPr>
      <w:r>
        <w:t xml:space="preserve">OWASP Top 10:2025: https://owasp.org/Top10/2025/</w:t>
      </w:r>
    </w:p>
    <w:p>
      <w:pPr>
        <w:pStyle w:val="ListBullet"/>
      </w:pPr>
      <w:r>
        <w:t xml:space="preserve">OWASP API Security Top 10 (2023): https://owasp.org/API-Security/</w:t>
      </w:r>
    </w:p>
    <w:p>
      <w:pPr>
        <w:pStyle w:val="ListBullet"/>
      </w:pPr>
      <w:r>
        <w:t xml:space="preserve">OWASP Top 10 for LLM Applications: https://genai.owasp.org/</w:t>
      </w:r>
    </w:p>
    <w:p>
      <w:pPr>
        <w:pStyle w:val="ListBullet"/>
      </w:pPr>
      <w:r>
        <w:t xml:space="preserve">OWASP Cheat Sheet Series: https://cheatsheetseries.owasp.org/</w:t>
      </w:r>
    </w:p>
    <w:p>
      <w:pPr>
        <w:pStyle w:val="ListBullet"/>
      </w:pPr>
      <w:r>
        <w:t xml:space="preserve">Next.js data security guide: https://nextjs.org/docs/app/guides/data-security</w:t>
      </w:r>
    </w:p>
    <w:p>
      <w:pPr>
        <w:pStyle w:val="ListBullet"/>
      </w:pPr>
      <w:r>
        <w:t xml:space="preserve">Next.js Content Security Policy guide: https://nextjs.org/docs/app/guides/content-security-policy</w:t>
      </w:r>
    </w:p>
    <w:p>
      <w:pPr>
        <w:pStyle w:val="ListBullet"/>
      </w:pPr>
      <w:r>
        <w:t xml:space="preserve">Next.js security advisories: https://github.com/vercel/next.js/security/advisories</w:t>
      </w:r>
    </w:p>
    <w:p>
      <w:pPr>
        <w:pStyle w:val="ListBullet"/>
      </w:pPr>
      <w:r>
        <w:t xml:space="preserve">ACSC Essential Eight (ITWM's own systems): https://www.cyber.gov.au/resources-business-and-government/essential-cyber-security/essential-eight</w:t>
      </w:r>
    </w:p>
    <w:p>
      <w:pPr>
        <w:pStyle w:val="ListBullet"/>
      </w:pPr>
      <w:r>
        <w:t xml:space="preserve">ACSC Information Security Manual: https://www.cyber.gov.au/resources-business-and-government/essential-cyber-security/ism</w:t>
      </w:r>
    </w:p>
    <w:p>
      <w:pPr>
        <w:pStyle w:val="ListBullet"/>
      </w:pPr>
      <w:r>
        <w:t xml:space="preserve">ACSC email domain protection and ransomware payment reporting: https://www.cyber.gov.au</w:t>
      </w:r>
    </w:p>
    <w:p>
      <w:pPr>
        <w:pStyle w:val="ListBullet"/>
      </w:pPr>
      <w:r>
        <w:t xml:space="preserve">OAIC Australian Privacy Principles: https://www.oaic.gov.au/privacy/australian-privacy-principles</w:t>
      </w:r>
    </w:p>
    <w:p>
      <w:pPr>
        <w:pStyle w:val="ListBullet"/>
      </w:pPr>
      <w:r>
        <w:t xml:space="preserve">OAIC Notifiable Data Breaches: https://www.oaic.gov.au/privacy/notifiable-data-breaches</w:t>
      </w:r>
    </w:p>
    <w:p>
      <w:pPr>
        <w:pStyle w:val="ListBullet"/>
      </w:pPr>
      <w:r>
        <w:t xml:space="preserve">Attorney-General's Department, exposure draft Privacy Amendment (Personal Data Protection) Bill 2026 (released 31 August 2026): https://www.ag.gov.au</w:t>
      </w:r>
    </w:p>
    <w:p>
      <w:pPr>
        <w:pStyle w:val="ListBullet"/>
      </w:pPr>
      <w:r>
        <w:t xml:space="preserve">ACMA Spam Act guidance: https://www.acma.gov.au/avoid-sending-spam</w:t>
      </w:r>
    </w:p>
    <w:p>
      <w:pPr>
        <w:pStyle w:val="ListBullet"/>
      </w:pPr>
      <w:r>
        <w:t xml:space="preserve">security.txt (RFC 9116): https://securitytxt.org/</w:t>
      </w:r>
    </w:p>
    <w:p>
      <w:r>
        <w:t xml:space="preserve">Document note: this framework is operational guidance and an internal assurance standard. It isn't legal advice, a security certification or a guarantee that an application is secure. Client-specific risk assessment, specialist legal advice and independent penetration testing remain necessary where the tier or risk warrants them.</w:t>
      </w:r>
    </w:p>
    <w:p>
      <w:pPr>
        <w:pStyle w:val="Heading1"/>
        <w:pageBreakBefore/>
      </w:pPr>
      <w:r>
        <w:t xml:space="preserve">Appendix A. Templates</w:t>
      </w:r>
    </w:p>
    <w:p>
      <w:r>
        <w:t xml:space="preserve">Use these alongside each other. They may live in the repository, ticketing system or a controlled client workspace with restricted access.</w:t>
      </w:r>
    </w:p>
    <w:p>
      <w:pPr>
        <w:pStyle w:val="Heading2"/>
      </w:pPr>
      <w:r>
        <w:t xml:space="preserve">Control evidence register</w:t>
      </w:r>
    </w:p>
    <w:tbl>
      <w:tblPr>
        <w:tblStyle w:val="LightShading-Accent1"/>
        <w:tblW w:type="dxa" w:w="8640"/>
        <w:tblLook w:firstColumn="1" w:firstRow="1" w:lastColumn="0" w:lastRow="0" w:noHBand="0" w:noVBand="1" w:val="04A0"/>
      </w:tblPr>
      <w:tblGrid>
        <w:gridCol w:w="1000"/>
        <w:gridCol w:w="1400"/>
        <w:gridCol w:w="1400"/>
        <w:gridCol w:w="2040"/>
        <w:gridCol w:w="1400"/>
        <w:gridCol w:w="1400"/>
      </w:tblGrid>
      <w:tr>
        <w:trPr>
          <w:tblHeader/>
        </w:trPr>
        <w:tc>
          <w:tcPr>
            <w:tcW w:type="dxa" w:w="1000"/>
          </w:tcPr>
          <w:p>
            <w:r>
              <w:t xml:space="preserve">ID</w:t>
            </w:r>
          </w:p>
        </w:tc>
        <w:tc>
          <w:tcPr>
            <w:tcW w:type="dxa" w:w="1400"/>
          </w:tcPr>
          <w:p>
            <w:r>
              <w:t xml:space="preserve">Applicable?</w:t>
            </w:r>
          </w:p>
        </w:tc>
        <w:tc>
          <w:tcPr>
            <w:tcW w:type="dxa" w:w="1400"/>
          </w:tcPr>
          <w:p>
            <w:r>
              <w:t xml:space="preserve">Owner</w:t>
            </w:r>
          </w:p>
        </w:tc>
        <w:tc>
          <w:tcPr>
            <w:tcW w:type="dxa" w:w="2040"/>
          </w:tcPr>
          <w:p>
            <w:r>
              <w:t xml:space="preserve">Evidence / link</w:t>
            </w:r>
          </w:p>
        </w:tc>
        <w:tc>
          <w:tcPr>
            <w:tcW w:type="dxa" w:w="1400"/>
          </w:tcPr>
          <w:p>
            <w:r>
              <w:t xml:space="preserve">Result</w:t>
            </w:r>
          </w:p>
        </w:tc>
        <w:tc>
          <w:tcPr>
            <w:tcW w:type="dxa" w:w="1400"/>
          </w:tcPr>
          <w:p>
            <w:r>
              <w:t xml:space="preserve">Approved date</w:t>
            </w:r>
          </w:p>
        </w:tc>
      </w:tr>
      <w:tr>
        <w:tc>
          <w:tcPr>
            <w:tcW w:type="dxa" w:w="1000"/>
          </w:tcPr>
          <w:p>
            <w:r>
              <w:rPr>
                <w:color w:val="262626"/>
              </w:rPr>
              <w:t xml:space="preserve">01</w:t>
            </w:r>
          </w:p>
        </w:tc>
        <w:tc>
          <w:tcPr>
            <w:tcW w:type="dxa" w:w="1400"/>
          </w:tcPr>
          <w:p/>
        </w:tc>
        <w:tc>
          <w:tcPr>
            <w:tcW w:type="dxa" w:w="1400"/>
          </w:tcPr>
          <w:p/>
        </w:tc>
        <w:tc>
          <w:tcPr>
            <w:tcW w:type="dxa" w:w="2040"/>
          </w:tcPr>
          <w:p/>
        </w:tc>
        <w:tc>
          <w:tcPr>
            <w:tcW w:type="dxa" w:w="1400"/>
          </w:tcPr>
          <w:p/>
        </w:tc>
        <w:tc>
          <w:tcPr>
            <w:tcW w:type="dxa" w:w="1400"/>
          </w:tcPr>
          <w:p/>
        </w:tc>
      </w:tr>
      <w:tr>
        <w:tc>
          <w:tcPr>
            <w:tcW w:type="dxa" w:w="1000"/>
          </w:tcPr>
          <w:p>
            <w:r>
              <w:rPr>
                <w:color w:val="262626"/>
              </w:rPr>
              <w:t xml:space="preserve">02</w:t>
            </w:r>
          </w:p>
        </w:tc>
        <w:tc>
          <w:tcPr>
            <w:tcW w:type="dxa" w:w="1400"/>
          </w:tcPr>
          <w:p/>
        </w:tc>
        <w:tc>
          <w:tcPr>
            <w:tcW w:type="dxa" w:w="1400"/>
          </w:tcPr>
          <w:p/>
        </w:tc>
        <w:tc>
          <w:tcPr>
            <w:tcW w:type="dxa" w:w="2040"/>
          </w:tcPr>
          <w:p/>
        </w:tc>
        <w:tc>
          <w:tcPr>
            <w:tcW w:type="dxa" w:w="1400"/>
          </w:tcPr>
          <w:p/>
        </w:tc>
        <w:tc>
          <w:tcPr>
            <w:tcW w:type="dxa" w:w="1400"/>
          </w:tcPr>
          <w:p/>
        </w:tc>
      </w:tr>
      <w:tr>
        <w:tc>
          <w:tcPr>
            <w:tcW w:type="dxa" w:w="1000"/>
          </w:tcPr>
          <w:p>
            <w:r>
              <w:rPr>
                <w:color w:val="262626"/>
              </w:rPr>
              <w:t xml:space="preserve">03</w:t>
            </w:r>
          </w:p>
        </w:tc>
        <w:tc>
          <w:tcPr>
            <w:tcW w:type="dxa" w:w="1400"/>
          </w:tcPr>
          <w:p/>
        </w:tc>
        <w:tc>
          <w:tcPr>
            <w:tcW w:type="dxa" w:w="1400"/>
          </w:tcPr>
          <w:p/>
        </w:tc>
        <w:tc>
          <w:tcPr>
            <w:tcW w:type="dxa" w:w="2040"/>
          </w:tcPr>
          <w:p/>
        </w:tc>
        <w:tc>
          <w:tcPr>
            <w:tcW w:type="dxa" w:w="1400"/>
          </w:tcPr>
          <w:p/>
        </w:tc>
        <w:tc>
          <w:tcPr>
            <w:tcW w:type="dxa" w:w="1400"/>
          </w:tcPr>
          <w:p/>
        </w:tc>
      </w:tr>
      <w:tr>
        <w:tc>
          <w:tcPr>
            <w:tcW w:type="dxa" w:w="1000"/>
          </w:tcPr>
          <w:p>
            <w:r>
              <w:rPr>
                <w:color w:val="262626"/>
              </w:rPr>
              <w:t xml:space="preserve">04</w:t>
            </w:r>
          </w:p>
        </w:tc>
        <w:tc>
          <w:tcPr>
            <w:tcW w:type="dxa" w:w="1400"/>
          </w:tcPr>
          <w:p/>
        </w:tc>
        <w:tc>
          <w:tcPr>
            <w:tcW w:type="dxa" w:w="1400"/>
          </w:tcPr>
          <w:p/>
        </w:tc>
        <w:tc>
          <w:tcPr>
            <w:tcW w:type="dxa" w:w="2040"/>
          </w:tcPr>
          <w:p/>
        </w:tc>
        <w:tc>
          <w:tcPr>
            <w:tcW w:type="dxa" w:w="1400"/>
          </w:tcPr>
          <w:p/>
        </w:tc>
        <w:tc>
          <w:tcPr>
            <w:tcW w:type="dxa" w:w="1400"/>
          </w:tcPr>
          <w:p/>
        </w:tc>
      </w:tr>
      <w:tr>
        <w:tc>
          <w:tcPr>
            <w:tcW w:type="dxa" w:w="1000"/>
          </w:tcPr>
          <w:p>
            <w:r>
              <w:rPr>
                <w:color w:val="262626"/>
              </w:rPr>
              <w:t xml:space="preserve">05</w:t>
            </w:r>
          </w:p>
        </w:tc>
        <w:tc>
          <w:tcPr>
            <w:tcW w:type="dxa" w:w="1400"/>
          </w:tcPr>
          <w:p/>
        </w:tc>
        <w:tc>
          <w:tcPr>
            <w:tcW w:type="dxa" w:w="1400"/>
          </w:tcPr>
          <w:p/>
        </w:tc>
        <w:tc>
          <w:tcPr>
            <w:tcW w:type="dxa" w:w="2040"/>
          </w:tcPr>
          <w:p/>
        </w:tc>
        <w:tc>
          <w:tcPr>
            <w:tcW w:type="dxa" w:w="1400"/>
          </w:tcPr>
          <w:p/>
        </w:tc>
        <w:tc>
          <w:tcPr>
            <w:tcW w:type="dxa" w:w="1400"/>
          </w:tcPr>
          <w:p/>
        </w:tc>
      </w:tr>
      <w:tr>
        <w:tc>
          <w:tcPr>
            <w:tcW w:type="dxa" w:w="1000"/>
          </w:tcPr>
          <w:p>
            <w:r>
              <w:rPr>
                <w:color w:val="262626"/>
              </w:rPr>
              <w:t xml:space="preserve">06</w:t>
            </w:r>
          </w:p>
        </w:tc>
        <w:tc>
          <w:tcPr>
            <w:tcW w:type="dxa" w:w="1400"/>
          </w:tcPr>
          <w:p/>
        </w:tc>
        <w:tc>
          <w:tcPr>
            <w:tcW w:type="dxa" w:w="1400"/>
          </w:tcPr>
          <w:p/>
        </w:tc>
        <w:tc>
          <w:tcPr>
            <w:tcW w:type="dxa" w:w="2040"/>
          </w:tcPr>
          <w:p/>
        </w:tc>
        <w:tc>
          <w:tcPr>
            <w:tcW w:type="dxa" w:w="1400"/>
          </w:tcPr>
          <w:p/>
        </w:tc>
        <w:tc>
          <w:tcPr>
            <w:tcW w:type="dxa" w:w="1400"/>
          </w:tcPr>
          <w:p/>
        </w:tc>
      </w:tr>
      <w:tr>
        <w:tc>
          <w:tcPr>
            <w:tcW w:type="dxa" w:w="1000"/>
          </w:tcPr>
          <w:p>
            <w:r>
              <w:rPr>
                <w:color w:val="262626"/>
              </w:rPr>
              <w:t xml:space="preserve">07</w:t>
            </w:r>
          </w:p>
        </w:tc>
        <w:tc>
          <w:tcPr>
            <w:tcW w:type="dxa" w:w="1400"/>
          </w:tcPr>
          <w:p/>
        </w:tc>
        <w:tc>
          <w:tcPr>
            <w:tcW w:type="dxa" w:w="1400"/>
          </w:tcPr>
          <w:p/>
        </w:tc>
        <w:tc>
          <w:tcPr>
            <w:tcW w:type="dxa" w:w="2040"/>
          </w:tcPr>
          <w:p/>
        </w:tc>
        <w:tc>
          <w:tcPr>
            <w:tcW w:type="dxa" w:w="1400"/>
          </w:tcPr>
          <w:p/>
        </w:tc>
        <w:tc>
          <w:tcPr>
            <w:tcW w:type="dxa" w:w="1400"/>
          </w:tcPr>
          <w:p/>
        </w:tc>
      </w:tr>
      <w:tr>
        <w:tc>
          <w:tcPr>
            <w:tcW w:type="dxa" w:w="1000"/>
          </w:tcPr>
          <w:p>
            <w:r>
              <w:rPr>
                <w:color w:val="262626"/>
              </w:rPr>
              <w:t xml:space="preserve">08</w:t>
            </w:r>
          </w:p>
        </w:tc>
        <w:tc>
          <w:tcPr>
            <w:tcW w:type="dxa" w:w="1400"/>
          </w:tcPr>
          <w:p/>
        </w:tc>
        <w:tc>
          <w:tcPr>
            <w:tcW w:type="dxa" w:w="1400"/>
          </w:tcPr>
          <w:p/>
        </w:tc>
        <w:tc>
          <w:tcPr>
            <w:tcW w:type="dxa" w:w="2040"/>
          </w:tcPr>
          <w:p/>
        </w:tc>
        <w:tc>
          <w:tcPr>
            <w:tcW w:type="dxa" w:w="1400"/>
          </w:tcPr>
          <w:p/>
        </w:tc>
        <w:tc>
          <w:tcPr>
            <w:tcW w:type="dxa" w:w="1400"/>
          </w:tcPr>
          <w:p/>
        </w:tc>
      </w:tr>
      <w:tr>
        <w:tc>
          <w:tcPr>
            <w:tcW w:type="dxa" w:w="1000"/>
          </w:tcPr>
          <w:p>
            <w:r>
              <w:rPr>
                <w:color w:val="262626"/>
              </w:rPr>
              <w:t xml:space="preserve">09</w:t>
            </w:r>
          </w:p>
        </w:tc>
        <w:tc>
          <w:tcPr>
            <w:tcW w:type="dxa" w:w="1400"/>
          </w:tcPr>
          <w:p/>
        </w:tc>
        <w:tc>
          <w:tcPr>
            <w:tcW w:type="dxa" w:w="1400"/>
          </w:tcPr>
          <w:p/>
        </w:tc>
        <w:tc>
          <w:tcPr>
            <w:tcW w:type="dxa" w:w="2040"/>
          </w:tcPr>
          <w:p/>
        </w:tc>
        <w:tc>
          <w:tcPr>
            <w:tcW w:type="dxa" w:w="1400"/>
          </w:tcPr>
          <w:p/>
        </w:tc>
        <w:tc>
          <w:tcPr>
            <w:tcW w:type="dxa" w:w="1400"/>
          </w:tcPr>
          <w:p/>
        </w:tc>
      </w:tr>
      <w:tr>
        <w:tc>
          <w:tcPr>
            <w:tcW w:type="dxa" w:w="1000"/>
          </w:tcPr>
          <w:p>
            <w:r>
              <w:rPr>
                <w:color w:val="262626"/>
              </w:rPr>
              <w:t xml:space="preserve">10</w:t>
            </w:r>
          </w:p>
        </w:tc>
        <w:tc>
          <w:tcPr>
            <w:tcW w:type="dxa" w:w="1400"/>
          </w:tcPr>
          <w:p/>
        </w:tc>
        <w:tc>
          <w:tcPr>
            <w:tcW w:type="dxa" w:w="1400"/>
          </w:tcPr>
          <w:p/>
        </w:tc>
        <w:tc>
          <w:tcPr>
            <w:tcW w:type="dxa" w:w="2040"/>
          </w:tcPr>
          <w:p/>
        </w:tc>
        <w:tc>
          <w:tcPr>
            <w:tcW w:type="dxa" w:w="1400"/>
          </w:tcPr>
          <w:p/>
        </w:tc>
        <w:tc>
          <w:tcPr>
            <w:tcW w:type="dxa" w:w="1400"/>
          </w:tcPr>
          <w:p/>
        </w:tc>
      </w:tr>
      <w:tr>
        <w:tc>
          <w:tcPr>
            <w:tcW w:type="dxa" w:w="1000"/>
          </w:tcPr>
          <w:p>
            <w:r>
              <w:rPr>
                <w:color w:val="262626"/>
              </w:rPr>
              <w:t xml:space="preserve">11</w:t>
            </w:r>
          </w:p>
        </w:tc>
        <w:tc>
          <w:tcPr>
            <w:tcW w:type="dxa" w:w="1400"/>
          </w:tcPr>
          <w:p/>
        </w:tc>
        <w:tc>
          <w:tcPr>
            <w:tcW w:type="dxa" w:w="1400"/>
          </w:tcPr>
          <w:p/>
        </w:tc>
        <w:tc>
          <w:tcPr>
            <w:tcW w:type="dxa" w:w="2040"/>
          </w:tcPr>
          <w:p/>
        </w:tc>
        <w:tc>
          <w:tcPr>
            <w:tcW w:type="dxa" w:w="1400"/>
          </w:tcPr>
          <w:p/>
        </w:tc>
        <w:tc>
          <w:tcPr>
            <w:tcW w:type="dxa" w:w="1400"/>
          </w:tcPr>
          <w:p/>
        </w:tc>
      </w:tr>
      <w:tr>
        <w:tc>
          <w:tcPr>
            <w:tcW w:type="dxa" w:w="1000"/>
          </w:tcPr>
          <w:p>
            <w:r>
              <w:rPr>
                <w:color w:val="262626"/>
              </w:rPr>
              <w:t xml:space="preserve">12</w:t>
            </w:r>
          </w:p>
        </w:tc>
        <w:tc>
          <w:tcPr>
            <w:tcW w:type="dxa" w:w="1400"/>
          </w:tcPr>
          <w:p/>
        </w:tc>
        <w:tc>
          <w:tcPr>
            <w:tcW w:type="dxa" w:w="1400"/>
          </w:tcPr>
          <w:p/>
        </w:tc>
        <w:tc>
          <w:tcPr>
            <w:tcW w:type="dxa" w:w="2040"/>
          </w:tcPr>
          <w:p/>
        </w:tc>
        <w:tc>
          <w:tcPr>
            <w:tcW w:type="dxa" w:w="1400"/>
          </w:tcPr>
          <w:p/>
        </w:tc>
        <w:tc>
          <w:tcPr>
            <w:tcW w:type="dxa" w:w="1400"/>
          </w:tcPr>
          <w:p/>
        </w:tc>
      </w:tr>
      <w:tr>
        <w:tc>
          <w:tcPr>
            <w:tcW w:type="dxa" w:w="1000"/>
          </w:tcPr>
          <w:p>
            <w:r>
              <w:rPr>
                <w:color w:val="262626"/>
              </w:rPr>
              <w:t xml:space="preserve">13</w:t>
            </w:r>
          </w:p>
        </w:tc>
        <w:tc>
          <w:tcPr>
            <w:tcW w:type="dxa" w:w="1400"/>
          </w:tcPr>
          <w:p/>
        </w:tc>
        <w:tc>
          <w:tcPr>
            <w:tcW w:type="dxa" w:w="1400"/>
          </w:tcPr>
          <w:p/>
        </w:tc>
        <w:tc>
          <w:tcPr>
            <w:tcW w:type="dxa" w:w="2040"/>
          </w:tcPr>
          <w:p/>
        </w:tc>
        <w:tc>
          <w:tcPr>
            <w:tcW w:type="dxa" w:w="1400"/>
          </w:tcPr>
          <w:p/>
        </w:tc>
        <w:tc>
          <w:tcPr>
            <w:tcW w:type="dxa" w:w="1400"/>
          </w:tcPr>
          <w:p/>
        </w:tc>
      </w:tr>
      <w:tr>
        <w:tc>
          <w:tcPr>
            <w:tcW w:type="dxa" w:w="1000"/>
          </w:tcPr>
          <w:p>
            <w:r>
              <w:rPr>
                <w:color w:val="262626"/>
              </w:rPr>
              <w:t xml:space="preserve">14</w:t>
            </w:r>
          </w:p>
        </w:tc>
        <w:tc>
          <w:tcPr>
            <w:tcW w:type="dxa" w:w="1400"/>
          </w:tcPr>
          <w:p/>
        </w:tc>
        <w:tc>
          <w:tcPr>
            <w:tcW w:type="dxa" w:w="1400"/>
          </w:tcPr>
          <w:p/>
        </w:tc>
        <w:tc>
          <w:tcPr>
            <w:tcW w:type="dxa" w:w="2040"/>
          </w:tcPr>
          <w:p/>
        </w:tc>
        <w:tc>
          <w:tcPr>
            <w:tcW w:type="dxa" w:w="1400"/>
          </w:tcPr>
          <w:p/>
        </w:tc>
        <w:tc>
          <w:tcPr>
            <w:tcW w:type="dxa" w:w="1400"/>
          </w:tcPr>
          <w:p/>
        </w:tc>
      </w:tr>
      <w:tr>
        <w:tc>
          <w:tcPr>
            <w:tcW w:type="dxa" w:w="1000"/>
          </w:tcPr>
          <w:p>
            <w:r>
              <w:rPr>
                <w:color w:val="262626"/>
              </w:rPr>
              <w:t xml:space="preserve">15</w:t>
            </w:r>
          </w:p>
        </w:tc>
        <w:tc>
          <w:tcPr>
            <w:tcW w:type="dxa" w:w="1400"/>
          </w:tcPr>
          <w:p/>
        </w:tc>
        <w:tc>
          <w:tcPr>
            <w:tcW w:type="dxa" w:w="1400"/>
          </w:tcPr>
          <w:p/>
        </w:tc>
        <w:tc>
          <w:tcPr>
            <w:tcW w:type="dxa" w:w="2040"/>
          </w:tcPr>
          <w:p/>
        </w:tc>
        <w:tc>
          <w:tcPr>
            <w:tcW w:type="dxa" w:w="1400"/>
          </w:tcPr>
          <w:p/>
        </w:tc>
        <w:tc>
          <w:tcPr>
            <w:tcW w:type="dxa" w:w="1400"/>
          </w:tcPr>
          <w:p/>
        </w:tc>
      </w:tr>
      <w:tr>
        <w:tc>
          <w:tcPr>
            <w:tcW w:type="dxa" w:w="1000"/>
          </w:tcPr>
          <w:p>
            <w:r>
              <w:rPr>
                <w:color w:val="262626"/>
              </w:rPr>
              <w:t xml:space="preserve">16</w:t>
            </w:r>
          </w:p>
        </w:tc>
        <w:tc>
          <w:tcPr>
            <w:tcW w:type="dxa" w:w="1400"/>
          </w:tcPr>
          <w:p/>
        </w:tc>
        <w:tc>
          <w:tcPr>
            <w:tcW w:type="dxa" w:w="1400"/>
          </w:tcPr>
          <w:p/>
        </w:tc>
        <w:tc>
          <w:tcPr>
            <w:tcW w:type="dxa" w:w="2040"/>
          </w:tcPr>
          <w:p/>
        </w:tc>
        <w:tc>
          <w:tcPr>
            <w:tcW w:type="dxa" w:w="1400"/>
          </w:tcPr>
          <w:p/>
        </w:tc>
        <w:tc>
          <w:tcPr>
            <w:tcW w:type="dxa" w:w="1400"/>
          </w:tcPr>
          <w:p/>
        </w:tc>
      </w:tr>
      <w:tr>
        <w:tc>
          <w:tcPr>
            <w:tcW w:type="dxa" w:w="1000"/>
          </w:tcPr>
          <w:p>
            <w:r>
              <w:rPr>
                <w:color w:val="262626"/>
              </w:rPr>
              <w:t xml:space="preserve">17</w:t>
            </w:r>
          </w:p>
        </w:tc>
        <w:tc>
          <w:tcPr>
            <w:tcW w:type="dxa" w:w="1400"/>
          </w:tcPr>
          <w:p/>
        </w:tc>
        <w:tc>
          <w:tcPr>
            <w:tcW w:type="dxa" w:w="1400"/>
          </w:tcPr>
          <w:p/>
        </w:tc>
        <w:tc>
          <w:tcPr>
            <w:tcW w:type="dxa" w:w="2040"/>
          </w:tcPr>
          <w:p/>
        </w:tc>
        <w:tc>
          <w:tcPr>
            <w:tcW w:type="dxa" w:w="1400"/>
          </w:tcPr>
          <w:p/>
        </w:tc>
        <w:tc>
          <w:tcPr>
            <w:tcW w:type="dxa" w:w="1400"/>
          </w:tcPr>
          <w:p/>
        </w:tc>
      </w:tr>
      <w:tr>
        <w:tc>
          <w:tcPr>
            <w:tcW w:type="dxa" w:w="1000"/>
          </w:tcPr>
          <w:p>
            <w:r>
              <w:rPr>
                <w:color w:val="262626"/>
              </w:rPr>
              <w:t xml:space="preserve">18</w:t>
            </w:r>
          </w:p>
        </w:tc>
        <w:tc>
          <w:tcPr>
            <w:tcW w:type="dxa" w:w="1400"/>
          </w:tcPr>
          <w:p/>
        </w:tc>
        <w:tc>
          <w:tcPr>
            <w:tcW w:type="dxa" w:w="1400"/>
          </w:tcPr>
          <w:p/>
        </w:tc>
        <w:tc>
          <w:tcPr>
            <w:tcW w:type="dxa" w:w="2040"/>
          </w:tcPr>
          <w:p/>
        </w:tc>
        <w:tc>
          <w:tcPr>
            <w:tcW w:type="dxa" w:w="1400"/>
          </w:tcPr>
          <w:p/>
        </w:tc>
        <w:tc>
          <w:tcPr>
            <w:tcW w:type="dxa" w:w="1400"/>
          </w:tcPr>
          <w:p/>
        </w:tc>
      </w:tr>
      <w:tr>
        <w:tc>
          <w:tcPr>
            <w:tcW w:type="dxa" w:w="1000"/>
          </w:tcPr>
          <w:p>
            <w:r>
              <w:rPr>
                <w:color w:val="262626"/>
              </w:rPr>
              <w:t xml:space="preserve">19</w:t>
            </w:r>
          </w:p>
        </w:tc>
        <w:tc>
          <w:tcPr>
            <w:tcW w:type="dxa" w:w="1400"/>
          </w:tcPr>
          <w:p/>
        </w:tc>
        <w:tc>
          <w:tcPr>
            <w:tcW w:type="dxa" w:w="1400"/>
          </w:tcPr>
          <w:p/>
        </w:tc>
        <w:tc>
          <w:tcPr>
            <w:tcW w:type="dxa" w:w="2040"/>
          </w:tcPr>
          <w:p/>
        </w:tc>
        <w:tc>
          <w:tcPr>
            <w:tcW w:type="dxa" w:w="1400"/>
          </w:tcPr>
          <w:p/>
        </w:tc>
        <w:tc>
          <w:tcPr>
            <w:tcW w:type="dxa" w:w="1400"/>
          </w:tcPr>
          <w:p/>
        </w:tc>
      </w:tr>
      <w:tr>
        <w:tc>
          <w:tcPr>
            <w:tcW w:type="dxa" w:w="1000"/>
          </w:tcPr>
          <w:p>
            <w:r>
              <w:rPr>
                <w:color w:val="262626"/>
              </w:rPr>
              <w:t xml:space="preserve">20</w:t>
            </w:r>
          </w:p>
        </w:tc>
        <w:tc>
          <w:tcPr>
            <w:tcW w:type="dxa" w:w="1400"/>
          </w:tcPr>
          <w:p/>
        </w:tc>
        <w:tc>
          <w:tcPr>
            <w:tcW w:type="dxa" w:w="1400"/>
          </w:tcPr>
          <w:p/>
        </w:tc>
        <w:tc>
          <w:tcPr>
            <w:tcW w:type="dxa" w:w="2040"/>
          </w:tcPr>
          <w:p/>
        </w:tc>
        <w:tc>
          <w:tcPr>
            <w:tcW w:type="dxa" w:w="1400"/>
          </w:tcPr>
          <w:p/>
        </w:tc>
        <w:tc>
          <w:tcPr>
            <w:tcW w:type="dxa" w:w="1400"/>
          </w:tcPr>
          <w:p/>
        </w:tc>
      </w:tr>
      <w:tr>
        <w:tc>
          <w:tcPr>
            <w:tcW w:type="dxa" w:w="1000"/>
          </w:tcPr>
          <w:p>
            <w:r>
              <w:rPr>
                <w:color w:val="262626"/>
              </w:rPr>
              <w:t xml:space="preserve">21</w:t>
            </w:r>
          </w:p>
        </w:tc>
        <w:tc>
          <w:tcPr>
            <w:tcW w:type="dxa" w:w="1400"/>
          </w:tcPr>
          <w:p/>
        </w:tc>
        <w:tc>
          <w:tcPr>
            <w:tcW w:type="dxa" w:w="1400"/>
          </w:tcPr>
          <w:p/>
        </w:tc>
        <w:tc>
          <w:tcPr>
            <w:tcW w:type="dxa" w:w="2040"/>
          </w:tcPr>
          <w:p/>
        </w:tc>
        <w:tc>
          <w:tcPr>
            <w:tcW w:type="dxa" w:w="1400"/>
          </w:tcPr>
          <w:p/>
        </w:tc>
        <w:tc>
          <w:tcPr>
            <w:tcW w:type="dxa" w:w="1400"/>
          </w:tcPr>
          <w:p/>
        </w:tc>
      </w:tr>
      <w:tr>
        <w:tc>
          <w:tcPr>
            <w:tcW w:type="dxa" w:w="1000"/>
          </w:tcPr>
          <w:p>
            <w:r>
              <w:rPr>
                <w:color w:val="262626"/>
              </w:rPr>
              <w:t xml:space="preserve">22</w:t>
            </w:r>
          </w:p>
        </w:tc>
        <w:tc>
          <w:tcPr>
            <w:tcW w:type="dxa" w:w="1400"/>
          </w:tcPr>
          <w:p/>
        </w:tc>
        <w:tc>
          <w:tcPr>
            <w:tcW w:type="dxa" w:w="1400"/>
          </w:tcPr>
          <w:p/>
        </w:tc>
        <w:tc>
          <w:tcPr>
            <w:tcW w:type="dxa" w:w="2040"/>
          </w:tcPr>
          <w:p/>
        </w:tc>
        <w:tc>
          <w:tcPr>
            <w:tcW w:type="dxa" w:w="1400"/>
          </w:tcPr>
          <w:p/>
        </w:tc>
        <w:tc>
          <w:tcPr>
            <w:tcW w:type="dxa" w:w="1400"/>
          </w:tcPr>
          <w:p/>
        </w:tc>
      </w:tr>
    </w:tbl>
    <w:p/>
    <w:p>
      <w:pPr>
        <w:pStyle w:val="Heading2"/>
      </w:pPr>
      <w:r>
        <w:t xml:space="preserve">ASVS applicability register (fields)</w:t>
      </w:r>
    </w:p>
    <w:p>
      <w:r>
        <w:t xml:space="preserve">Version-pinned requirement ID; requirement summary; target level; applicable or not, with justification; ITWM control(s); implementation location; verification method; evidence link; result; owner; date; exception reference.</w:t>
      </w:r>
    </w:p>
    <w:p>
      <w:pPr>
        <w:pStyle w:val="Heading2"/>
      </w:pPr>
      <w:r>
        <w:t xml:space="preserve">Threat register</w:t>
      </w:r>
    </w:p>
    <w:tbl>
      <w:tblPr>
        <w:tblStyle w:val="LightShading-Accent1"/>
        <w:tblW w:type="dxa" w:w="8640"/>
        <w:tblLook w:firstColumn="1" w:firstRow="1" w:lastColumn="0" w:lastRow="0" w:noHBand="0" w:noVBand="1" w:val="04A0"/>
      </w:tblPr>
      <w:tblGrid>
        <w:gridCol w:w="700"/>
        <w:gridCol w:w="1100"/>
        <w:gridCol w:w="1500"/>
        <w:gridCol w:w="900"/>
        <w:gridCol w:w="1200"/>
        <w:gridCol w:w="1200"/>
        <w:gridCol w:w="900"/>
        <w:gridCol w:w="1140"/>
      </w:tblGrid>
      <w:tr>
        <w:trPr>
          <w:tblHeader/>
        </w:trPr>
        <w:tc>
          <w:tcPr>
            <w:tcW w:type="dxa" w:w="700"/>
          </w:tcPr>
          <w:p>
            <w:r>
              <w:t xml:space="preserve">ID</w:t>
            </w:r>
          </w:p>
        </w:tc>
        <w:tc>
          <w:tcPr>
            <w:tcW w:type="dxa" w:w="1100"/>
          </w:tcPr>
          <w:p>
            <w:r>
              <w:t xml:space="preserve">Asset / flow</w:t>
            </w:r>
          </w:p>
        </w:tc>
        <w:tc>
          <w:tcPr>
            <w:tcW w:type="dxa" w:w="1500"/>
          </w:tcPr>
          <w:p>
            <w:r>
              <w:t xml:space="preserve">Threat / abuse case</w:t>
            </w:r>
          </w:p>
        </w:tc>
        <w:tc>
          <w:tcPr>
            <w:tcW w:type="dxa" w:w="900"/>
          </w:tcPr>
          <w:p>
            <w:r>
              <w:t xml:space="preserve">STRIDE</w:t>
            </w:r>
          </w:p>
        </w:tc>
        <w:tc>
          <w:tcPr>
            <w:tcW w:type="dxa" w:w="1200"/>
          </w:tcPr>
          <w:p>
            <w:r>
              <w:t xml:space="preserve">Existing control</w:t>
            </w:r>
          </w:p>
        </w:tc>
        <w:tc>
          <w:tcPr>
            <w:tcW w:type="dxa" w:w="1200"/>
          </w:tcPr>
          <w:p>
            <w:r>
              <w:t xml:space="preserve">Required action</w:t>
            </w:r>
          </w:p>
        </w:tc>
        <w:tc>
          <w:tcPr>
            <w:tcW w:type="dxa" w:w="900"/>
          </w:tcPr>
          <w:p>
            <w:r>
              <w:t xml:space="preserve">Owner</w:t>
            </w:r>
          </w:p>
        </w:tc>
        <w:tc>
          <w:tcPr>
            <w:tcW w:type="dxa" w:w="1140"/>
          </w:tcPr>
          <w:p>
            <w:r>
              <w:t xml:space="preserve">Residual risk</w:t>
            </w:r>
          </w:p>
        </w:tc>
      </w:tr>
      <w:tr>
        <w:tc>
          <w:tcPr>
            <w:tcW w:type="dxa" w:w="700"/>
          </w:tcPr>
          <w:p>
            <w:r>
              <w:rPr>
                <w:color w:val="262626"/>
              </w:rPr>
              <w:t xml:space="preserve">T-01</w:t>
            </w:r>
          </w:p>
        </w:tc>
        <w:tc>
          <w:tcPr>
            <w:tcW w:type="dxa" w:w="1100"/>
          </w:tcPr>
          <w:p/>
        </w:tc>
        <w:tc>
          <w:tcPr>
            <w:tcW w:type="dxa" w:w="1500"/>
          </w:tcPr>
          <w:p/>
        </w:tc>
        <w:tc>
          <w:tcPr>
            <w:tcW w:type="dxa" w:w="900"/>
          </w:tcPr>
          <w:p/>
        </w:tc>
        <w:tc>
          <w:tcPr>
            <w:tcW w:type="dxa" w:w="1200"/>
          </w:tcPr>
          <w:p/>
        </w:tc>
        <w:tc>
          <w:tcPr>
            <w:tcW w:type="dxa" w:w="1200"/>
          </w:tcPr>
          <w:p/>
        </w:tc>
        <w:tc>
          <w:tcPr>
            <w:tcW w:type="dxa" w:w="900"/>
          </w:tcPr>
          <w:p/>
        </w:tc>
        <w:tc>
          <w:tcPr>
            <w:tcW w:type="dxa" w:w="1140"/>
          </w:tcPr>
          <w:p/>
        </w:tc>
      </w:tr>
      <w:tr>
        <w:tc>
          <w:tcPr>
            <w:tcW w:type="dxa" w:w="700"/>
          </w:tcPr>
          <w:p>
            <w:r>
              <w:rPr>
                <w:color w:val="262626"/>
              </w:rPr>
              <w:t xml:space="preserve">T-02</w:t>
            </w:r>
          </w:p>
        </w:tc>
        <w:tc>
          <w:tcPr>
            <w:tcW w:type="dxa" w:w="1100"/>
          </w:tcPr>
          <w:p/>
        </w:tc>
        <w:tc>
          <w:tcPr>
            <w:tcW w:type="dxa" w:w="1500"/>
          </w:tcPr>
          <w:p/>
        </w:tc>
        <w:tc>
          <w:tcPr>
            <w:tcW w:type="dxa" w:w="900"/>
          </w:tcPr>
          <w:p/>
        </w:tc>
        <w:tc>
          <w:tcPr>
            <w:tcW w:type="dxa" w:w="1200"/>
          </w:tcPr>
          <w:p/>
        </w:tc>
        <w:tc>
          <w:tcPr>
            <w:tcW w:type="dxa" w:w="1200"/>
          </w:tcPr>
          <w:p/>
        </w:tc>
        <w:tc>
          <w:tcPr>
            <w:tcW w:type="dxa" w:w="900"/>
          </w:tcPr>
          <w:p/>
        </w:tc>
        <w:tc>
          <w:tcPr>
            <w:tcW w:type="dxa" w:w="1140"/>
          </w:tcPr>
          <w:p/>
        </w:tc>
      </w:tr>
      <w:tr>
        <w:tc>
          <w:tcPr>
            <w:tcW w:type="dxa" w:w="700"/>
          </w:tcPr>
          <w:p>
            <w:r>
              <w:rPr>
                <w:color w:val="262626"/>
              </w:rPr>
              <w:t xml:space="preserve">T-03</w:t>
            </w:r>
          </w:p>
        </w:tc>
        <w:tc>
          <w:tcPr>
            <w:tcW w:type="dxa" w:w="1100"/>
          </w:tcPr>
          <w:p/>
        </w:tc>
        <w:tc>
          <w:tcPr>
            <w:tcW w:type="dxa" w:w="1500"/>
          </w:tcPr>
          <w:p/>
        </w:tc>
        <w:tc>
          <w:tcPr>
            <w:tcW w:type="dxa" w:w="900"/>
          </w:tcPr>
          <w:p/>
        </w:tc>
        <w:tc>
          <w:tcPr>
            <w:tcW w:type="dxa" w:w="1200"/>
          </w:tcPr>
          <w:p/>
        </w:tc>
        <w:tc>
          <w:tcPr>
            <w:tcW w:type="dxa" w:w="1200"/>
          </w:tcPr>
          <w:p/>
        </w:tc>
        <w:tc>
          <w:tcPr>
            <w:tcW w:type="dxa" w:w="900"/>
          </w:tcPr>
          <w:p/>
        </w:tc>
        <w:tc>
          <w:tcPr>
            <w:tcW w:type="dxa" w:w="1140"/>
          </w:tcPr>
          <w:p/>
        </w:tc>
      </w:tr>
      <w:tr>
        <w:tc>
          <w:tcPr>
            <w:tcW w:type="dxa" w:w="700"/>
          </w:tcPr>
          <w:p>
            <w:r>
              <w:rPr>
                <w:color w:val="262626"/>
              </w:rPr>
              <w:t xml:space="preserve">T-04</w:t>
            </w:r>
          </w:p>
        </w:tc>
        <w:tc>
          <w:tcPr>
            <w:tcW w:type="dxa" w:w="1100"/>
          </w:tcPr>
          <w:p/>
        </w:tc>
        <w:tc>
          <w:tcPr>
            <w:tcW w:type="dxa" w:w="1500"/>
          </w:tcPr>
          <w:p/>
        </w:tc>
        <w:tc>
          <w:tcPr>
            <w:tcW w:type="dxa" w:w="900"/>
          </w:tcPr>
          <w:p/>
        </w:tc>
        <w:tc>
          <w:tcPr>
            <w:tcW w:type="dxa" w:w="1200"/>
          </w:tcPr>
          <w:p/>
        </w:tc>
        <w:tc>
          <w:tcPr>
            <w:tcW w:type="dxa" w:w="1200"/>
          </w:tcPr>
          <w:p/>
        </w:tc>
        <w:tc>
          <w:tcPr>
            <w:tcW w:type="dxa" w:w="900"/>
          </w:tcPr>
          <w:p/>
        </w:tc>
        <w:tc>
          <w:tcPr>
            <w:tcW w:type="dxa" w:w="1140"/>
          </w:tcPr>
          <w:p/>
        </w:tc>
      </w:tr>
    </w:tbl>
    <w:p/>
    <w:p>
      <w:pPr>
        <w:pStyle w:val="Heading2"/>
      </w:pPr>
      <w:r>
        <w:t xml:space="preserve">Retention register</w:t>
      </w:r>
    </w:p>
    <w:tbl>
      <w:tblPr>
        <w:tblStyle w:val="LightShading-Accent1"/>
        <w:tblW w:type="dxa" w:w="8640"/>
        <w:tblLook w:firstColumn="1" w:firstRow="1" w:lastColumn="0" w:lastRow="0" w:noHBand="0" w:noVBand="1" w:val="04A0"/>
      </w:tblPr>
      <w:tblGrid>
        <w:gridCol w:w="1100"/>
        <w:gridCol w:w="900"/>
        <w:gridCol w:w="1000"/>
        <w:gridCol w:w="1200"/>
        <w:gridCol w:w="1000"/>
        <w:gridCol w:w="1200"/>
        <w:gridCol w:w="1240"/>
        <w:gridCol w:w="1000"/>
      </w:tblGrid>
      <w:tr>
        <w:trPr>
          <w:tblHeader/>
        </w:trPr>
        <w:tc>
          <w:tcPr>
            <w:tcW w:type="dxa" w:w="1100"/>
          </w:tcPr>
          <w:p>
            <w:r>
              <w:t xml:space="preserve">Data type</w:t>
            </w:r>
          </w:p>
        </w:tc>
        <w:tc>
          <w:tcPr>
            <w:tcW w:type="dxa" w:w="900"/>
          </w:tcPr>
          <w:p>
            <w:r>
              <w:t xml:space="preserve">Class</w:t>
            </w:r>
          </w:p>
        </w:tc>
        <w:tc>
          <w:tcPr>
            <w:tcW w:type="dxa" w:w="1000"/>
          </w:tcPr>
          <w:p>
            <w:r>
              <w:t xml:space="preserve">Purpose</w:t>
            </w:r>
          </w:p>
        </w:tc>
        <w:tc>
          <w:tcPr>
            <w:tcW w:type="dxa" w:w="1200"/>
          </w:tcPr>
          <w:p>
            <w:r>
              <w:t xml:space="preserve">System / vendor</w:t>
            </w:r>
          </w:p>
        </w:tc>
        <w:tc>
          <w:tcPr>
            <w:tcW w:type="dxa" w:w="1000"/>
          </w:tcPr>
          <w:p>
            <w:r>
              <w:t xml:space="preserve">Retention</w:t>
            </w:r>
          </w:p>
        </w:tc>
        <w:tc>
          <w:tcPr>
            <w:tcW w:type="dxa" w:w="1200"/>
          </w:tcPr>
          <w:p>
            <w:r>
              <w:t xml:space="preserve">Deletion method</w:t>
            </w:r>
          </w:p>
        </w:tc>
        <w:tc>
          <w:tcPr>
            <w:tcW w:type="dxa" w:w="1240"/>
          </w:tcPr>
          <w:p>
            <w:r>
              <w:t xml:space="preserve">Legal / business basis</w:t>
            </w:r>
          </w:p>
        </w:tc>
        <w:tc>
          <w:tcPr>
            <w:tcW w:type="dxa" w:w="1000"/>
          </w:tcPr>
          <w:p>
            <w:r>
              <w:t xml:space="preserve">Owner</w:t>
            </w:r>
          </w:p>
        </w:tc>
      </w:tr>
      <w:tr>
        <w:tc>
          <w:tcPr>
            <w:tcW w:type="dxa" w:w="1100"/>
          </w:tcPr>
          <w:p/>
        </w:tc>
        <w:tc>
          <w:tcPr>
            <w:tcW w:type="dxa" w:w="900"/>
          </w:tcPr>
          <w:p/>
        </w:tc>
        <w:tc>
          <w:tcPr>
            <w:tcW w:type="dxa" w:w="1000"/>
          </w:tcPr>
          <w:p/>
        </w:tc>
        <w:tc>
          <w:tcPr>
            <w:tcW w:type="dxa" w:w="1200"/>
          </w:tcPr>
          <w:p/>
        </w:tc>
        <w:tc>
          <w:tcPr>
            <w:tcW w:type="dxa" w:w="1000"/>
          </w:tcPr>
          <w:p/>
        </w:tc>
        <w:tc>
          <w:tcPr>
            <w:tcW w:type="dxa" w:w="1200"/>
          </w:tcPr>
          <w:p/>
        </w:tc>
        <w:tc>
          <w:tcPr>
            <w:tcW w:type="dxa" w:w="1240"/>
          </w:tcPr>
          <w:p/>
        </w:tc>
        <w:tc>
          <w:tcPr>
            <w:tcW w:type="dxa" w:w="1000"/>
          </w:tcPr>
          <w:p/>
        </w:tc>
      </w:tr>
      <w:tr>
        <w:tc>
          <w:tcPr>
            <w:tcW w:type="dxa" w:w="1100"/>
          </w:tcPr>
          <w:p/>
        </w:tc>
        <w:tc>
          <w:tcPr>
            <w:tcW w:type="dxa" w:w="900"/>
          </w:tcPr>
          <w:p/>
        </w:tc>
        <w:tc>
          <w:tcPr>
            <w:tcW w:type="dxa" w:w="1000"/>
          </w:tcPr>
          <w:p/>
        </w:tc>
        <w:tc>
          <w:tcPr>
            <w:tcW w:type="dxa" w:w="1200"/>
          </w:tcPr>
          <w:p/>
        </w:tc>
        <w:tc>
          <w:tcPr>
            <w:tcW w:type="dxa" w:w="1000"/>
          </w:tcPr>
          <w:p/>
        </w:tc>
        <w:tc>
          <w:tcPr>
            <w:tcW w:type="dxa" w:w="1200"/>
          </w:tcPr>
          <w:p/>
        </w:tc>
        <w:tc>
          <w:tcPr>
            <w:tcW w:type="dxa" w:w="1240"/>
          </w:tcPr>
          <w:p/>
        </w:tc>
        <w:tc>
          <w:tcPr>
            <w:tcW w:type="dxa" w:w="1000"/>
          </w:tcPr>
          <w:p/>
        </w:tc>
      </w:tr>
      <w:tr>
        <w:tc>
          <w:tcPr>
            <w:tcW w:type="dxa" w:w="1100"/>
          </w:tcPr>
          <w:p/>
        </w:tc>
        <w:tc>
          <w:tcPr>
            <w:tcW w:type="dxa" w:w="900"/>
          </w:tcPr>
          <w:p/>
        </w:tc>
        <w:tc>
          <w:tcPr>
            <w:tcW w:type="dxa" w:w="1000"/>
          </w:tcPr>
          <w:p/>
        </w:tc>
        <w:tc>
          <w:tcPr>
            <w:tcW w:type="dxa" w:w="1200"/>
          </w:tcPr>
          <w:p/>
        </w:tc>
        <w:tc>
          <w:tcPr>
            <w:tcW w:type="dxa" w:w="1000"/>
          </w:tcPr>
          <w:p/>
        </w:tc>
        <w:tc>
          <w:tcPr>
            <w:tcW w:type="dxa" w:w="1200"/>
          </w:tcPr>
          <w:p/>
        </w:tc>
        <w:tc>
          <w:tcPr>
            <w:tcW w:type="dxa" w:w="1240"/>
          </w:tcPr>
          <w:p/>
        </w:tc>
        <w:tc>
          <w:tcPr>
            <w:tcW w:type="dxa" w:w="1000"/>
          </w:tcPr>
          <w:p/>
        </w:tc>
      </w:tr>
      <w:tr>
        <w:tc>
          <w:tcPr>
            <w:tcW w:type="dxa" w:w="1100"/>
          </w:tcPr>
          <w:p/>
        </w:tc>
        <w:tc>
          <w:tcPr>
            <w:tcW w:type="dxa" w:w="900"/>
          </w:tcPr>
          <w:p/>
        </w:tc>
        <w:tc>
          <w:tcPr>
            <w:tcW w:type="dxa" w:w="1000"/>
          </w:tcPr>
          <w:p/>
        </w:tc>
        <w:tc>
          <w:tcPr>
            <w:tcW w:type="dxa" w:w="1200"/>
          </w:tcPr>
          <w:p/>
        </w:tc>
        <w:tc>
          <w:tcPr>
            <w:tcW w:type="dxa" w:w="1000"/>
          </w:tcPr>
          <w:p/>
        </w:tc>
        <w:tc>
          <w:tcPr>
            <w:tcW w:type="dxa" w:w="1200"/>
          </w:tcPr>
          <w:p/>
        </w:tc>
        <w:tc>
          <w:tcPr>
            <w:tcW w:type="dxa" w:w="1240"/>
          </w:tcPr>
          <w:p/>
        </w:tc>
        <w:tc>
          <w:tcPr>
            <w:tcW w:type="dxa" w:w="1000"/>
          </w:tcPr>
          <w:p/>
        </w:tc>
      </w:tr>
    </w:tbl>
    <w:p/>
    <w:p>
      <w:pPr>
        <w:pStyle w:val="Heading2"/>
      </w:pPr>
      <w:r>
        <w:t xml:space="preserve">Permissions matrix</w:t>
      </w:r>
    </w:p>
    <w:tbl>
      <w:tblPr>
        <w:tblStyle w:val="LightShading-Accent1"/>
        <w:tblW w:type="dxa" w:w="8640"/>
        <w:tblLook w:firstColumn="1" w:firstRow="1" w:lastColumn="0" w:lastRow="0" w:noHBand="0" w:noVBand="1" w:val="04A0"/>
      </w:tblPr>
      <w:tblGrid>
        <w:gridCol w:w="1440"/>
        <w:gridCol w:w="1440"/>
        <w:gridCol w:w="1100"/>
        <w:gridCol w:w="1100"/>
        <w:gridCol w:w="1100"/>
        <w:gridCol w:w="1100"/>
        <w:gridCol w:w="1360"/>
      </w:tblGrid>
      <w:tr>
        <w:trPr>
          <w:tblHeader/>
        </w:trPr>
        <w:tc>
          <w:tcPr>
            <w:tcW w:type="dxa" w:w="1440"/>
          </w:tcPr>
          <w:p>
            <w:r>
              <w:t xml:space="preserve">Role</w:t>
            </w:r>
          </w:p>
        </w:tc>
        <w:tc>
          <w:tcPr>
            <w:tcW w:type="dxa" w:w="1440"/>
          </w:tcPr>
          <w:p>
            <w:r>
              <w:t xml:space="preserve">Resource</w:t>
            </w:r>
          </w:p>
        </w:tc>
        <w:tc>
          <w:tcPr>
            <w:tcW w:type="dxa" w:w="1100"/>
          </w:tcPr>
          <w:p>
            <w:r>
              <w:t xml:space="preserve">Create</w:t>
            </w:r>
          </w:p>
        </w:tc>
        <w:tc>
          <w:tcPr>
            <w:tcW w:type="dxa" w:w="1100"/>
          </w:tcPr>
          <w:p>
            <w:r>
              <w:t xml:space="preserve">Read</w:t>
            </w:r>
          </w:p>
        </w:tc>
        <w:tc>
          <w:tcPr>
            <w:tcW w:type="dxa" w:w="1100"/>
          </w:tcPr>
          <w:p>
            <w:r>
              <w:t xml:space="preserve">Update</w:t>
            </w:r>
          </w:p>
        </w:tc>
        <w:tc>
          <w:tcPr>
            <w:tcW w:type="dxa" w:w="1100"/>
          </w:tcPr>
          <w:p>
            <w:r>
              <w:t xml:space="preserve">Delete</w:t>
            </w:r>
          </w:p>
        </w:tc>
        <w:tc>
          <w:tcPr>
            <w:tcW w:type="dxa" w:w="1360"/>
          </w:tcPr>
          <w:p>
            <w:r>
              <w:t xml:space="preserve">Admin / export</w:t>
            </w:r>
          </w:p>
        </w:tc>
      </w:tr>
      <w:tr>
        <w:tc>
          <w:tcPr>
            <w:tcW w:type="dxa" w:w="1440"/>
          </w:tcPr>
          <w:p/>
        </w:tc>
        <w:tc>
          <w:tcPr>
            <w:tcW w:type="dxa" w:w="1440"/>
          </w:tcPr>
          <w:p/>
        </w:tc>
        <w:tc>
          <w:tcPr>
            <w:tcW w:type="dxa" w:w="1100"/>
          </w:tcPr>
          <w:p/>
        </w:tc>
        <w:tc>
          <w:tcPr>
            <w:tcW w:type="dxa" w:w="1100"/>
          </w:tcPr>
          <w:p/>
        </w:tc>
        <w:tc>
          <w:tcPr>
            <w:tcW w:type="dxa" w:w="1100"/>
          </w:tcPr>
          <w:p/>
        </w:tc>
        <w:tc>
          <w:tcPr>
            <w:tcW w:type="dxa" w:w="1100"/>
          </w:tcPr>
          <w:p/>
        </w:tc>
        <w:tc>
          <w:tcPr>
            <w:tcW w:type="dxa" w:w="1360"/>
          </w:tcPr>
          <w:p/>
        </w:tc>
      </w:tr>
      <w:tr>
        <w:tc>
          <w:tcPr>
            <w:tcW w:type="dxa" w:w="1440"/>
          </w:tcPr>
          <w:p/>
        </w:tc>
        <w:tc>
          <w:tcPr>
            <w:tcW w:type="dxa" w:w="1440"/>
          </w:tcPr>
          <w:p/>
        </w:tc>
        <w:tc>
          <w:tcPr>
            <w:tcW w:type="dxa" w:w="1100"/>
          </w:tcPr>
          <w:p/>
        </w:tc>
        <w:tc>
          <w:tcPr>
            <w:tcW w:type="dxa" w:w="1100"/>
          </w:tcPr>
          <w:p/>
        </w:tc>
        <w:tc>
          <w:tcPr>
            <w:tcW w:type="dxa" w:w="1100"/>
          </w:tcPr>
          <w:p/>
        </w:tc>
        <w:tc>
          <w:tcPr>
            <w:tcW w:type="dxa" w:w="1100"/>
          </w:tcPr>
          <w:p/>
        </w:tc>
        <w:tc>
          <w:tcPr>
            <w:tcW w:type="dxa" w:w="1360"/>
          </w:tcPr>
          <w:p/>
        </w:tc>
      </w:tr>
      <w:tr>
        <w:tc>
          <w:tcPr>
            <w:tcW w:type="dxa" w:w="1440"/>
          </w:tcPr>
          <w:p/>
        </w:tc>
        <w:tc>
          <w:tcPr>
            <w:tcW w:type="dxa" w:w="1440"/>
          </w:tcPr>
          <w:p/>
        </w:tc>
        <w:tc>
          <w:tcPr>
            <w:tcW w:type="dxa" w:w="1100"/>
          </w:tcPr>
          <w:p/>
        </w:tc>
        <w:tc>
          <w:tcPr>
            <w:tcW w:type="dxa" w:w="1100"/>
          </w:tcPr>
          <w:p/>
        </w:tc>
        <w:tc>
          <w:tcPr>
            <w:tcW w:type="dxa" w:w="1100"/>
          </w:tcPr>
          <w:p/>
        </w:tc>
        <w:tc>
          <w:tcPr>
            <w:tcW w:type="dxa" w:w="1100"/>
          </w:tcPr>
          <w:p/>
        </w:tc>
        <w:tc>
          <w:tcPr>
            <w:tcW w:type="dxa" w:w="1360"/>
          </w:tcPr>
          <w:p/>
        </w:tc>
      </w:tr>
      <w:tr>
        <w:tc>
          <w:tcPr>
            <w:tcW w:type="dxa" w:w="1440"/>
          </w:tcPr>
          <w:p/>
        </w:tc>
        <w:tc>
          <w:tcPr>
            <w:tcW w:type="dxa" w:w="1440"/>
          </w:tcPr>
          <w:p/>
        </w:tc>
        <w:tc>
          <w:tcPr>
            <w:tcW w:type="dxa" w:w="1100"/>
          </w:tcPr>
          <w:p/>
        </w:tc>
        <w:tc>
          <w:tcPr>
            <w:tcW w:type="dxa" w:w="1100"/>
          </w:tcPr>
          <w:p/>
        </w:tc>
        <w:tc>
          <w:tcPr>
            <w:tcW w:type="dxa" w:w="1100"/>
          </w:tcPr>
          <w:p/>
        </w:tc>
        <w:tc>
          <w:tcPr>
            <w:tcW w:type="dxa" w:w="1100"/>
          </w:tcPr>
          <w:p/>
        </w:tc>
        <w:tc>
          <w:tcPr>
            <w:tcW w:type="dxa" w:w="1360"/>
          </w:tcPr>
          <w:p/>
        </w:tc>
      </w:tr>
    </w:tbl>
    <w:p/>
    <w:p>
      <w:pPr>
        <w:pStyle w:val="Heading2"/>
      </w:pPr>
      <w:r>
        <w:t xml:space="preserve">Vendor assessment</w:t>
      </w:r>
    </w:p>
    <w:tbl>
      <w:tblPr>
        <w:tblStyle w:val="LightShading-Accent1"/>
        <w:tblW w:type="dxa" w:w="8640"/>
        <w:tblLook w:firstColumn="1" w:firstRow="1" w:lastColumn="0" w:lastRow="0" w:noHBand="0" w:noVBand="1" w:val="04A0"/>
      </w:tblPr>
      <w:tblGrid>
        <w:gridCol w:w="2400"/>
        <w:gridCol w:w="4240"/>
        <w:gridCol w:w="2000"/>
      </w:tblGrid>
      <w:tr>
        <w:trPr>
          <w:tblHeader/>
        </w:trPr>
        <w:tc>
          <w:tcPr>
            <w:tcW w:type="dxa" w:w="2400"/>
          </w:tcPr>
          <w:p>
            <w:r>
              <w:t xml:space="preserve">Item</w:t>
            </w:r>
          </w:p>
        </w:tc>
        <w:tc>
          <w:tcPr>
            <w:tcW w:type="dxa" w:w="4240"/>
          </w:tcPr>
          <w:p>
            <w:r>
              <w:t xml:space="preserve">Question</w:t>
            </w:r>
          </w:p>
        </w:tc>
        <w:tc>
          <w:tcPr>
            <w:tcW w:type="dxa" w:w="2000"/>
          </w:tcPr>
          <w:p>
            <w:r>
              <w:t xml:space="preserve">Evidence / decision</w:t>
            </w:r>
          </w:p>
        </w:tc>
      </w:tr>
      <w:tr>
        <w:tc>
          <w:tcPr>
            <w:tcW w:type="dxa" w:w="2400"/>
          </w:tcPr>
          <w:p>
            <w:r>
              <w:rPr>
                <w:color w:val="262626"/>
              </w:rPr>
              <w:t xml:space="preserve">Purpose and necessity</w:t>
            </w:r>
          </w:p>
        </w:tc>
        <w:tc>
          <w:tcPr>
            <w:tcW w:type="dxa" w:w="4240"/>
          </w:tcPr>
          <w:p>
            <w:r>
              <w:rPr>
                <w:color w:val="262626"/>
              </w:rPr>
              <w:t xml:space="preserve">What does the vendor do, and can the project avoid sending it this data?</w:t>
            </w:r>
          </w:p>
        </w:tc>
        <w:tc>
          <w:tcPr>
            <w:tcW w:type="dxa" w:w="2000"/>
          </w:tcPr>
          <w:p/>
        </w:tc>
      </w:tr>
      <w:tr>
        <w:tc>
          <w:tcPr>
            <w:tcW w:type="dxa" w:w="2400"/>
          </w:tcPr>
          <w:p>
            <w:r>
              <w:rPr>
                <w:color w:val="262626"/>
              </w:rPr>
              <w:t xml:space="preserve">Data categories</w:t>
            </w:r>
          </w:p>
        </w:tc>
        <w:tc>
          <w:tcPr>
            <w:tcW w:type="dxa" w:w="4240"/>
          </w:tcPr>
          <w:p>
            <w:r>
              <w:rPr>
                <w:color w:val="262626"/>
              </w:rPr>
              <w:t xml:space="preserve">What personal, sensitive, confidential, credential or payment data does it receive?</w:t>
            </w:r>
          </w:p>
        </w:tc>
        <w:tc>
          <w:tcPr>
            <w:tcW w:type="dxa" w:w="2000"/>
          </w:tcPr>
          <w:p/>
        </w:tc>
      </w:tr>
      <w:tr>
        <w:tc>
          <w:tcPr>
            <w:tcW w:type="dxa" w:w="2400"/>
          </w:tcPr>
          <w:p>
            <w:r>
              <w:rPr>
                <w:color w:val="262626"/>
              </w:rPr>
              <w:t xml:space="preserve">Location and subprocessors</w:t>
            </w:r>
          </w:p>
        </w:tc>
        <w:tc>
          <w:tcPr>
            <w:tcW w:type="dxa" w:w="4240"/>
          </w:tcPr>
          <w:p>
            <w:r>
              <w:rPr>
                <w:color w:val="262626"/>
              </w:rPr>
              <w:t xml:space="preserve">Where is data processed and stored, and which subprocessors can access it?</w:t>
            </w:r>
          </w:p>
        </w:tc>
        <w:tc>
          <w:tcPr>
            <w:tcW w:type="dxa" w:w="2000"/>
          </w:tcPr>
          <w:p/>
        </w:tc>
      </w:tr>
      <w:tr>
        <w:tc>
          <w:tcPr>
            <w:tcW w:type="dxa" w:w="2400"/>
          </w:tcPr>
          <w:p>
            <w:r>
              <w:rPr>
                <w:color w:val="262626"/>
              </w:rPr>
              <w:t xml:space="preserve">Access and authentication</w:t>
            </w:r>
          </w:p>
        </w:tc>
        <w:tc>
          <w:tcPr>
            <w:tcW w:type="dxa" w:w="4240"/>
          </w:tcPr>
          <w:p>
            <w:r>
              <w:rPr>
                <w:color w:val="262626"/>
              </w:rPr>
              <w:t xml:space="preserve">Named users, least-privilege roles, SSO, passkeys or MFA, audit logs?</w:t>
            </w:r>
          </w:p>
        </w:tc>
        <w:tc>
          <w:tcPr>
            <w:tcW w:type="dxa" w:w="2000"/>
          </w:tcPr>
          <w:p/>
        </w:tc>
      </w:tr>
      <w:tr>
        <w:tc>
          <w:tcPr>
            <w:tcW w:type="dxa" w:w="2400"/>
          </w:tcPr>
          <w:p>
            <w:r>
              <w:rPr>
                <w:color w:val="262626"/>
              </w:rPr>
              <w:t xml:space="preserve">Encryption and keys</w:t>
            </w:r>
          </w:p>
        </w:tc>
        <w:tc>
          <w:tcPr>
            <w:tcW w:type="dxa" w:w="4240"/>
          </w:tcPr>
          <w:p>
            <w:r>
              <w:rPr>
                <w:color w:val="262626"/>
              </w:rPr>
              <w:t xml:space="preserve">How is data protected in transit and at rest, and how are secrets handled?</w:t>
            </w:r>
          </w:p>
        </w:tc>
        <w:tc>
          <w:tcPr>
            <w:tcW w:type="dxa" w:w="2000"/>
          </w:tcPr>
          <w:p/>
        </w:tc>
      </w:tr>
      <w:tr>
        <w:tc>
          <w:tcPr>
            <w:tcW w:type="dxa" w:w="2400"/>
          </w:tcPr>
          <w:p>
            <w:r>
              <w:rPr>
                <w:color w:val="262626"/>
              </w:rPr>
              <w:t xml:space="preserve">Retention and deletion</w:t>
            </w:r>
          </w:p>
        </w:tc>
        <w:tc>
          <w:tcPr>
            <w:tcW w:type="dxa" w:w="4240"/>
          </w:tcPr>
          <w:p>
            <w:r>
              <w:rPr>
                <w:color w:val="262626"/>
              </w:rPr>
              <w:t xml:space="preserve">Can retention be configured, and data deleted or exported at termination?</w:t>
            </w:r>
          </w:p>
        </w:tc>
        <w:tc>
          <w:tcPr>
            <w:tcW w:type="dxa" w:w="2000"/>
          </w:tcPr>
          <w:p/>
        </w:tc>
      </w:tr>
      <w:tr>
        <w:tc>
          <w:tcPr>
            <w:tcW w:type="dxa" w:w="2400"/>
          </w:tcPr>
          <w:p>
            <w:r>
              <w:rPr>
                <w:color w:val="262626"/>
              </w:rPr>
              <w:t xml:space="preserve">Breach handling</w:t>
            </w:r>
          </w:p>
        </w:tc>
        <w:tc>
          <w:tcPr>
            <w:tcW w:type="dxa" w:w="4240"/>
          </w:tcPr>
          <w:p>
            <w:r>
              <w:rPr>
                <w:color w:val="262626"/>
              </w:rPr>
              <w:t xml:space="preserve">What incident and breach notification commitments exist?</w:t>
            </w:r>
          </w:p>
        </w:tc>
        <w:tc>
          <w:tcPr>
            <w:tcW w:type="dxa" w:w="2000"/>
          </w:tcPr>
          <w:p/>
        </w:tc>
      </w:tr>
      <w:tr>
        <w:tc>
          <w:tcPr>
            <w:tcW w:type="dxa" w:w="2400"/>
          </w:tcPr>
          <w:p>
            <w:r>
              <w:rPr>
                <w:color w:val="262626"/>
              </w:rPr>
              <w:t xml:space="preserve">Security assurance</w:t>
            </w:r>
          </w:p>
        </w:tc>
        <w:tc>
          <w:tcPr>
            <w:tcW w:type="dxa" w:w="4240"/>
          </w:tcPr>
          <w:p>
            <w:r>
              <w:rPr>
                <w:color w:val="262626"/>
              </w:rPr>
              <w:t xml:space="preserve">Certifications, pen-test summaries, security documentation or a disclosure channel?</w:t>
            </w:r>
          </w:p>
        </w:tc>
        <w:tc>
          <w:tcPr>
            <w:tcW w:type="dxa" w:w="2000"/>
          </w:tcPr>
          <w:p/>
        </w:tc>
      </w:tr>
      <w:tr>
        <w:tc>
          <w:tcPr>
            <w:tcW w:type="dxa" w:w="2400"/>
          </w:tcPr>
          <w:p>
            <w:r>
              <w:rPr>
                <w:color w:val="262626"/>
              </w:rPr>
              <w:t xml:space="preserve">Availability and exit</w:t>
            </w:r>
          </w:p>
        </w:tc>
        <w:tc>
          <w:tcPr>
            <w:tcW w:type="dxa" w:w="4240"/>
          </w:tcPr>
          <w:p>
            <w:r>
              <w:rPr>
                <w:color w:val="262626"/>
              </w:rPr>
              <w:t xml:space="preserve">Backup, export and continuity options; how does the client leave with its data?</w:t>
            </w:r>
          </w:p>
        </w:tc>
        <w:tc>
          <w:tcPr>
            <w:tcW w:type="dxa" w:w="2000"/>
          </w:tcPr>
          <w:p/>
        </w:tc>
      </w:tr>
      <w:tr>
        <w:tc>
          <w:tcPr>
            <w:tcW w:type="dxa" w:w="2400"/>
          </w:tcPr>
          <w:p>
            <w:r>
              <w:rPr>
                <w:color w:val="262626"/>
              </w:rPr>
              <w:t xml:space="preserve">AI-specific</w:t>
            </w:r>
          </w:p>
        </w:tc>
        <w:tc>
          <w:tcPr>
            <w:tcW w:type="dxa" w:w="4240"/>
          </w:tcPr>
          <w:p>
            <w:r>
              <w:rPr>
                <w:color w:val="262626"/>
              </w:rPr>
              <w:t xml:space="preserve">Does it train on submitted data, which models and subprocessors are used, and can training and retention be disabled?</w:t>
            </w:r>
          </w:p>
        </w:tc>
        <w:tc>
          <w:tcPr>
            <w:tcW w:type="dxa" w:w="2000"/>
          </w:tcPr>
          <w:p/>
        </w:tc>
      </w:tr>
    </w:tbl>
    <w:p/>
    <w:p>
      <w:pPr>
        <w:pStyle w:val="Heading2"/>
      </w:pPr>
      <w:r>
        <w:t xml:space="preserve">Vulnerability register (fields)</w:t>
      </w:r>
    </w:p>
    <w:p>
      <w:r>
        <w:t xml:space="preserve">Finding ID and source; affected component and version; description; severity and rationale; exploitability and exposure; owner; target date; fix or mitigation; retest evidence; status; risk acceptance and expiry if applicable.</w:t>
      </w:r>
    </w:p>
    <w:p>
      <w:pPr>
        <w:pStyle w:val="Heading2"/>
      </w:pPr>
      <w:r>
        <w:t xml:space="preserve">Incident record (fields)</w:t>
      </w:r>
    </w:p>
    <w:p>
      <w:r>
        <w:t xml:space="preserve">Incident ID and classification; detection time and source; systems and data affected; timeline; containment actions; credential rotations; evidence retained; client, legal and regulatory notifications; recovery validation; root cause; corrective actions; post-incident review date.</w:t>
      </w:r>
    </w:p>
    <w:p>
      <w:pPr>
        <w:pStyle w:val="Heading2"/>
      </w:pPr>
      <w:r>
        <w:t xml:space="preserve">CI/CD evidence</w:t>
      </w:r>
    </w:p>
    <w:p>
      <w:r>
        <w:t xml:space="preserve">Branch protection export; workflow permissions review; pinned action list; secret, dependency and SAST results; production environment access list; deployment identity method; SBOM where required; rollback rehearsal or documented successful rollback.</w:t>
      </w:r>
    </w:p>
    <w:p>
      <w:pPr>
        <w:pStyle w:val="Heading2"/>
      </w:pPr>
      <w:r>
        <w:t xml:space="preserve">Competency register (fields)</w:t>
      </w:r>
    </w:p>
    <w:p>
      <w:r>
        <w:t xml:space="preserve">Person; role; onboarding date; refresher date; approved scope (for example Tier A only, Tier B developer, Tier C reviewer).</w:t>
      </w:r>
    </w:p>
    <w:p>
      <w:pPr>
        <w:pStyle w:val="Heading2"/>
      </w:pPr>
      <w:r>
        <w:t xml:space="preserve">Release record</w:t>
      </w:r>
    </w:p>
    <w:tbl>
      <w:tblPr>
        <w:tblStyle w:val="LightShading-Accent1"/>
        <w:tblW w:type="dxa" w:w="8640"/>
        <w:tblLook w:firstColumn="1" w:firstRow="1" w:lastColumn="0" w:lastRow="0" w:noHBand="0" w:noVBand="1" w:val="04A0"/>
      </w:tblPr>
      <w:tblGrid>
        <w:gridCol w:w="1600"/>
        <w:gridCol w:w="900"/>
        <w:gridCol w:w="1300"/>
        <w:gridCol w:w="1200"/>
        <w:gridCol w:w="1800"/>
        <w:gridCol w:w="1840"/>
      </w:tblGrid>
      <w:tr>
        <w:trPr>
          <w:tblHeader/>
        </w:trPr>
        <w:tc>
          <w:tcPr>
            <w:tcW w:type="dxa" w:w="1600"/>
          </w:tcPr>
          <w:p>
            <w:r>
              <w:t xml:space="preserve">Release / commit</w:t>
            </w:r>
          </w:p>
        </w:tc>
        <w:tc>
          <w:tcPr>
            <w:tcW w:type="dxa" w:w="900"/>
          </w:tcPr>
          <w:p>
            <w:r>
              <w:t xml:space="preserve">Tier</w:t>
            </w:r>
          </w:p>
        </w:tc>
        <w:tc>
          <w:tcPr>
            <w:tcW w:type="dxa" w:w="1300"/>
          </w:tcPr>
          <w:p>
            <w:r>
              <w:t xml:space="preserve">Open Critical</w:t>
            </w:r>
          </w:p>
        </w:tc>
        <w:tc>
          <w:tcPr>
            <w:tcW w:type="dxa" w:w="1200"/>
          </w:tcPr>
          <w:p>
            <w:r>
              <w:t xml:space="preserve">Open High</w:t>
            </w:r>
          </w:p>
        </w:tc>
        <w:tc>
          <w:tcPr>
            <w:tcW w:type="dxa" w:w="1800"/>
          </w:tcPr>
          <w:p>
            <w:r>
              <w:t xml:space="preserve">Approvers</w:t>
            </w:r>
          </w:p>
        </w:tc>
        <w:tc>
          <w:tcPr>
            <w:tcW w:type="dxa" w:w="1840"/>
          </w:tcPr>
          <w:p>
            <w:r>
              <w:t xml:space="preserve">Decision / date</w:t>
            </w:r>
          </w:p>
        </w:tc>
      </w:tr>
      <w:tr>
        <w:tc>
          <w:tcPr>
            <w:tcW w:type="dxa" w:w="1600"/>
          </w:tcPr>
          <w:p/>
        </w:tc>
        <w:tc>
          <w:tcPr>
            <w:tcW w:type="dxa" w:w="900"/>
          </w:tcPr>
          <w:p/>
        </w:tc>
        <w:tc>
          <w:tcPr>
            <w:tcW w:type="dxa" w:w="1300"/>
          </w:tcPr>
          <w:p/>
        </w:tc>
        <w:tc>
          <w:tcPr>
            <w:tcW w:type="dxa" w:w="1200"/>
          </w:tcPr>
          <w:p/>
        </w:tc>
        <w:tc>
          <w:tcPr>
            <w:tcW w:type="dxa" w:w="1800"/>
          </w:tcPr>
          <w:p/>
        </w:tc>
        <w:tc>
          <w:tcPr>
            <w:tcW w:type="dxa" w:w="1840"/>
          </w:tcPr>
          <w:p/>
        </w:tc>
      </w:tr>
      <w:tr>
        <w:tc>
          <w:tcPr>
            <w:tcW w:type="dxa" w:w="1600"/>
          </w:tcPr>
          <w:p/>
        </w:tc>
        <w:tc>
          <w:tcPr>
            <w:tcW w:type="dxa" w:w="900"/>
          </w:tcPr>
          <w:p/>
        </w:tc>
        <w:tc>
          <w:tcPr>
            <w:tcW w:type="dxa" w:w="1300"/>
          </w:tcPr>
          <w:p/>
        </w:tc>
        <w:tc>
          <w:tcPr>
            <w:tcW w:type="dxa" w:w="1200"/>
          </w:tcPr>
          <w:p/>
        </w:tc>
        <w:tc>
          <w:tcPr>
            <w:tcW w:type="dxa" w:w="1800"/>
          </w:tcPr>
          <w:p/>
        </w:tc>
        <w:tc>
          <w:tcPr>
            <w:tcW w:type="dxa" w:w="1840"/>
          </w:tcPr>
          <w:p/>
        </w:tc>
      </w:tr>
    </w:tbl>
    <w:p/>
    <w:sectPr w:rsidR="00FC693F" w:rsidRPr="0006063C" w:rsidSect="00034616">
      <w:headerReference w:type="default" r:id="rId9"/>
      <w:footerReference w:type="default" r:id="rId10"/>
      <w:pgSz w:w="12240" w:h="15840"/>
      <w:pgMar w:top="1152" w:right="1800" w:bottom="1008" w:left="1800" w:header="576"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 technical standard  •  Version 3.1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INTO THE WILD MARKETING  |  DEVELOPMENT STANDARDS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C413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8524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