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2FCF56" w14:textId="7AE1BAEE" w:rsidR="00CA3B65" w:rsidRPr="00CA3B65" w:rsidRDefault="00CA3B65" w:rsidP="00CA3B65">
      <w:pPr>
        <w:jc w:val="center"/>
        <w:rPr>
          <w:b/>
          <w:bCs/>
          <w:sz w:val="36"/>
          <w:szCs w:val="36"/>
        </w:rPr>
      </w:pPr>
      <w:r w:rsidRPr="00CA3B65">
        <w:rPr>
          <w:b/>
          <w:bCs/>
          <w:sz w:val="36"/>
          <w:szCs w:val="36"/>
        </w:rPr>
        <w:t>Botium Toys: Remediation Roadmap</w:t>
      </w:r>
    </w:p>
    <w:p w14:paraId="18E2C272" w14:textId="1161DA76" w:rsidR="00CA3B65" w:rsidRDefault="00CA3B65" w:rsidP="00CA3B65">
      <w:pPr>
        <w:pBdr>
          <w:bottom w:val="single" w:sz="6" w:space="1" w:color="auto"/>
        </w:pBdr>
        <w:jc w:val="center"/>
      </w:pPr>
      <w:r>
        <w:t>August 2026</w:t>
      </w:r>
    </w:p>
    <w:p w14:paraId="18B2E3C7" w14:textId="77777777" w:rsidR="003B55D3" w:rsidRDefault="003B55D3" w:rsidP="00CA3B65">
      <w:pPr>
        <w:pBdr>
          <w:bottom w:val="single" w:sz="6" w:space="1" w:color="auto"/>
        </w:pBdr>
        <w:jc w:val="center"/>
      </w:pPr>
    </w:p>
    <w:p w14:paraId="48F6A56E" w14:textId="77777777" w:rsidR="003B55D3" w:rsidRDefault="003B55D3" w:rsidP="00CA3B65">
      <w:pPr>
        <w:jc w:val="center"/>
      </w:pPr>
    </w:p>
    <w:p w14:paraId="003129E0" w14:textId="77777777" w:rsidR="00B91390" w:rsidRDefault="003B55D3">
      <w:r>
        <w:t>This Remediation Roadmap outlines</w:t>
      </w:r>
      <w:r w:rsidR="000D7518">
        <w:t xml:space="preserve"> the corrective actions Botium Toys should follow to improve their security posture. Findings are ranked by business impact, with priority given to risks that pose an immediate risk towards cardholder data and regulatory compliance. Each action is referenced to its applicable framework</w:t>
      </w:r>
      <w:r w:rsidR="00F70861">
        <w:t>, estimated implementation effort, and recommended timeline. This roadmap is intended to be used for guiding Botium Toys’ IT Department and leadership to address control gaps identified in the audit report.</w:t>
      </w:r>
    </w:p>
    <w:p w14:paraId="6345929B" w14:textId="77777777" w:rsidR="00B91390" w:rsidRDefault="00B91390"/>
    <w:p w14:paraId="76C5F668" w14:textId="77777777" w:rsidR="00B91390" w:rsidRDefault="00B91390"/>
    <w:p w14:paraId="0855FE7D" w14:textId="77777777" w:rsidR="00B91390" w:rsidRPr="00B91390" w:rsidRDefault="00B91390">
      <w:pPr>
        <w:rPr>
          <w:b/>
          <w:bCs/>
        </w:rPr>
      </w:pPr>
      <w:r w:rsidRPr="00B91390">
        <w:rPr>
          <w:b/>
          <w:bCs/>
        </w:rPr>
        <w:t>Severity Legend</w:t>
      </w:r>
    </w:p>
    <w:p w14:paraId="15D62329" w14:textId="77777777" w:rsidR="00B91390" w:rsidRDefault="00B91390">
      <w:r>
        <w:t xml:space="preserve">Critical: Immediate threat to cardholder data or regulatory compliance | High: Significant Risk | Medium: moderate risk identified </w:t>
      </w:r>
    </w:p>
    <w:p w14:paraId="4319A661" w14:textId="469E4CAC" w:rsidR="003B55D3" w:rsidRDefault="00B91390">
      <w:r>
        <w:t>Effort Level: Low = minimal resources needed to remediate | Medium = moderate planning and resources required | High = significant time and budget needed to remediate</w:t>
      </w:r>
      <w:r w:rsidR="003B55D3">
        <w:br w:type="page"/>
      </w:r>
    </w:p>
    <w:tbl>
      <w:tblPr>
        <w:tblStyle w:val="TableGrid"/>
        <w:tblW w:w="5000" w:type="pct"/>
        <w:tblLook w:val="04A0" w:firstRow="1" w:lastRow="0" w:firstColumn="1" w:lastColumn="0" w:noHBand="0" w:noVBand="1"/>
      </w:tblPr>
      <w:tblGrid>
        <w:gridCol w:w="1009"/>
        <w:gridCol w:w="1124"/>
        <w:gridCol w:w="2613"/>
        <w:gridCol w:w="3994"/>
        <w:gridCol w:w="1438"/>
        <w:gridCol w:w="1063"/>
        <w:gridCol w:w="1709"/>
      </w:tblGrid>
      <w:tr w:rsidR="00CA3B65" w14:paraId="077723AE" w14:textId="77777777" w:rsidTr="005A28F2">
        <w:tc>
          <w:tcPr>
            <w:tcW w:w="389" w:type="pct"/>
            <w:shd w:val="clear" w:color="auto" w:fill="C1E4F5" w:themeFill="accent1" w:themeFillTint="33"/>
          </w:tcPr>
          <w:p w14:paraId="529CC5E0" w14:textId="77777777" w:rsidR="00CA3B65" w:rsidRPr="00BF2B51" w:rsidRDefault="00CA3B65" w:rsidP="002C5539">
            <w:pPr>
              <w:rPr>
                <w:b/>
                <w:bCs/>
              </w:rPr>
            </w:pPr>
            <w:r w:rsidRPr="00BF2B51">
              <w:rPr>
                <w:b/>
                <w:bCs/>
              </w:rPr>
              <w:lastRenderedPageBreak/>
              <w:t>Priority</w:t>
            </w:r>
          </w:p>
        </w:tc>
        <w:tc>
          <w:tcPr>
            <w:tcW w:w="434" w:type="pct"/>
            <w:shd w:val="clear" w:color="auto" w:fill="C1E4F5" w:themeFill="accent1" w:themeFillTint="33"/>
          </w:tcPr>
          <w:p w14:paraId="636004D4" w14:textId="77777777" w:rsidR="00CA3B65" w:rsidRPr="00BF2B51" w:rsidRDefault="00CA3B65" w:rsidP="002C5539">
            <w:pPr>
              <w:rPr>
                <w:b/>
                <w:bCs/>
              </w:rPr>
            </w:pPr>
            <w:r w:rsidRPr="00BF2B51">
              <w:rPr>
                <w:b/>
                <w:bCs/>
              </w:rPr>
              <w:t>Severity</w:t>
            </w:r>
          </w:p>
        </w:tc>
        <w:tc>
          <w:tcPr>
            <w:tcW w:w="1009" w:type="pct"/>
            <w:shd w:val="clear" w:color="auto" w:fill="C1E4F5" w:themeFill="accent1" w:themeFillTint="33"/>
          </w:tcPr>
          <w:p w14:paraId="75A62CC7" w14:textId="77777777" w:rsidR="00CA3B65" w:rsidRPr="00BF2B51" w:rsidRDefault="00CA3B65" w:rsidP="002C5539">
            <w:pPr>
              <w:rPr>
                <w:b/>
                <w:bCs/>
              </w:rPr>
            </w:pPr>
            <w:r w:rsidRPr="00BF2B51">
              <w:rPr>
                <w:b/>
                <w:bCs/>
              </w:rPr>
              <w:t>Finding</w:t>
            </w:r>
          </w:p>
        </w:tc>
        <w:tc>
          <w:tcPr>
            <w:tcW w:w="1542" w:type="pct"/>
            <w:shd w:val="clear" w:color="auto" w:fill="C1E4F5" w:themeFill="accent1" w:themeFillTint="33"/>
          </w:tcPr>
          <w:p w14:paraId="0310C07D" w14:textId="77777777" w:rsidR="00CA3B65" w:rsidRPr="00BF2B51" w:rsidRDefault="00CA3B65" w:rsidP="002C5539">
            <w:pPr>
              <w:rPr>
                <w:b/>
                <w:bCs/>
              </w:rPr>
            </w:pPr>
            <w:r w:rsidRPr="00BF2B51">
              <w:rPr>
                <w:b/>
                <w:bCs/>
              </w:rPr>
              <w:t>Recommended Action</w:t>
            </w:r>
          </w:p>
        </w:tc>
        <w:tc>
          <w:tcPr>
            <w:tcW w:w="555" w:type="pct"/>
            <w:shd w:val="clear" w:color="auto" w:fill="C1E4F5" w:themeFill="accent1" w:themeFillTint="33"/>
          </w:tcPr>
          <w:p w14:paraId="34B527FE" w14:textId="77777777" w:rsidR="00CA3B65" w:rsidRPr="00BF2B51" w:rsidRDefault="00CA3B65" w:rsidP="002C5539">
            <w:pPr>
              <w:rPr>
                <w:b/>
                <w:bCs/>
              </w:rPr>
            </w:pPr>
            <w:r w:rsidRPr="00BF2B51">
              <w:rPr>
                <w:b/>
                <w:bCs/>
              </w:rPr>
              <w:t>Framework Reference</w:t>
            </w:r>
          </w:p>
        </w:tc>
        <w:tc>
          <w:tcPr>
            <w:tcW w:w="410" w:type="pct"/>
            <w:shd w:val="clear" w:color="auto" w:fill="C1E4F5" w:themeFill="accent1" w:themeFillTint="33"/>
          </w:tcPr>
          <w:p w14:paraId="24CC180A" w14:textId="77777777" w:rsidR="00CA3B65" w:rsidRPr="00BF2B51" w:rsidRDefault="00CA3B65" w:rsidP="002C5539">
            <w:pPr>
              <w:rPr>
                <w:b/>
                <w:bCs/>
              </w:rPr>
            </w:pPr>
            <w:r w:rsidRPr="00BF2B51">
              <w:rPr>
                <w:b/>
                <w:bCs/>
              </w:rPr>
              <w:t>Effort</w:t>
            </w:r>
          </w:p>
        </w:tc>
        <w:tc>
          <w:tcPr>
            <w:tcW w:w="660" w:type="pct"/>
            <w:shd w:val="clear" w:color="auto" w:fill="C1E4F5" w:themeFill="accent1" w:themeFillTint="33"/>
          </w:tcPr>
          <w:p w14:paraId="44C2FD2B" w14:textId="77777777" w:rsidR="00CA3B65" w:rsidRPr="00BF2B51" w:rsidRDefault="00CA3B65" w:rsidP="002C5539">
            <w:pPr>
              <w:rPr>
                <w:b/>
                <w:bCs/>
              </w:rPr>
            </w:pPr>
            <w:r w:rsidRPr="00BF2B51">
              <w:rPr>
                <w:b/>
                <w:bCs/>
              </w:rPr>
              <w:t>Timeline</w:t>
            </w:r>
          </w:p>
        </w:tc>
      </w:tr>
      <w:tr w:rsidR="00CA3B65" w14:paraId="21CE3B0A" w14:textId="77777777" w:rsidTr="005A28F2">
        <w:tc>
          <w:tcPr>
            <w:tcW w:w="389" w:type="pct"/>
          </w:tcPr>
          <w:p w14:paraId="00A08183" w14:textId="77777777" w:rsidR="00CA3B65" w:rsidRPr="00DD11EA" w:rsidRDefault="00CA3B65" w:rsidP="002C5539">
            <w:pPr>
              <w:rPr>
                <w:b/>
                <w:bCs/>
              </w:rPr>
            </w:pPr>
            <w:r w:rsidRPr="00DD11EA">
              <w:rPr>
                <w:b/>
                <w:bCs/>
              </w:rPr>
              <w:t>1</w:t>
            </w:r>
          </w:p>
        </w:tc>
        <w:tc>
          <w:tcPr>
            <w:tcW w:w="434" w:type="pct"/>
            <w:shd w:val="clear" w:color="auto" w:fill="FCB4C0"/>
          </w:tcPr>
          <w:p w14:paraId="28953404" w14:textId="77777777" w:rsidR="00CA3B65" w:rsidRDefault="00CA3B65" w:rsidP="002C5539">
            <w:r>
              <w:t>Critical</w:t>
            </w:r>
          </w:p>
        </w:tc>
        <w:tc>
          <w:tcPr>
            <w:tcW w:w="1009" w:type="pct"/>
          </w:tcPr>
          <w:p w14:paraId="7EF9447C" w14:textId="77777777" w:rsidR="00CA3B65" w:rsidRDefault="00CA3B65" w:rsidP="002C5539">
            <w:r>
              <w:t>Lack of Encryption Protocols for Cardholder Data</w:t>
            </w:r>
          </w:p>
        </w:tc>
        <w:tc>
          <w:tcPr>
            <w:tcW w:w="1542" w:type="pct"/>
          </w:tcPr>
          <w:p w14:paraId="3BC535E1" w14:textId="77777777" w:rsidR="00CA3B65" w:rsidRDefault="00CA3B65" w:rsidP="002C5539">
            <w:r>
              <w:t>Botium Toys should implement AES-256 Encryption for cardholder data and TLS 1.2+ for data in transit. Establish an encryption policy that aligns with the PCI DSS framework (Req 3 + 4).</w:t>
            </w:r>
          </w:p>
        </w:tc>
        <w:tc>
          <w:tcPr>
            <w:tcW w:w="555" w:type="pct"/>
          </w:tcPr>
          <w:p w14:paraId="17B0DF51" w14:textId="77777777" w:rsidR="00CA3B65" w:rsidRDefault="00CA3B65" w:rsidP="002C5539">
            <w:r>
              <w:t>PCI DSS Req 3 + 4</w:t>
            </w:r>
          </w:p>
        </w:tc>
        <w:tc>
          <w:tcPr>
            <w:tcW w:w="410" w:type="pct"/>
            <w:shd w:val="clear" w:color="auto" w:fill="FCB4C0"/>
          </w:tcPr>
          <w:p w14:paraId="7773F373" w14:textId="77777777" w:rsidR="00CA3B65" w:rsidRDefault="00CA3B65" w:rsidP="002C5539">
            <w:r>
              <w:t>High</w:t>
            </w:r>
          </w:p>
        </w:tc>
        <w:tc>
          <w:tcPr>
            <w:tcW w:w="660" w:type="pct"/>
            <w:shd w:val="clear" w:color="auto" w:fill="FCB4C0"/>
          </w:tcPr>
          <w:p w14:paraId="364F787E" w14:textId="77777777" w:rsidR="00CA3B65" w:rsidRDefault="00CA3B65" w:rsidP="002C5539">
            <w:r>
              <w:t>Immediate</w:t>
            </w:r>
          </w:p>
        </w:tc>
      </w:tr>
      <w:tr w:rsidR="00CA3B65" w14:paraId="6D4EA774" w14:textId="77777777" w:rsidTr="005A28F2">
        <w:tc>
          <w:tcPr>
            <w:tcW w:w="389" w:type="pct"/>
          </w:tcPr>
          <w:p w14:paraId="7FBBAA1F" w14:textId="77777777" w:rsidR="00CA3B65" w:rsidRPr="00DD11EA" w:rsidRDefault="00CA3B65" w:rsidP="002C5539">
            <w:pPr>
              <w:rPr>
                <w:b/>
                <w:bCs/>
              </w:rPr>
            </w:pPr>
            <w:r w:rsidRPr="00DD11EA">
              <w:rPr>
                <w:b/>
                <w:bCs/>
              </w:rPr>
              <w:t>2</w:t>
            </w:r>
          </w:p>
        </w:tc>
        <w:tc>
          <w:tcPr>
            <w:tcW w:w="434" w:type="pct"/>
            <w:shd w:val="clear" w:color="auto" w:fill="FCB4C0"/>
          </w:tcPr>
          <w:p w14:paraId="5D7A7001" w14:textId="77777777" w:rsidR="00CA3B65" w:rsidRDefault="00CA3B65" w:rsidP="002C5539">
            <w:r>
              <w:t>Critical</w:t>
            </w:r>
          </w:p>
        </w:tc>
        <w:tc>
          <w:tcPr>
            <w:tcW w:w="1009" w:type="pct"/>
          </w:tcPr>
          <w:p w14:paraId="3D27C33C" w14:textId="77777777" w:rsidR="00CA3B65" w:rsidRDefault="00CA3B65" w:rsidP="002C5539">
            <w:r>
              <w:t>Lack of Least Privilege &amp; Access Controls</w:t>
            </w:r>
          </w:p>
        </w:tc>
        <w:tc>
          <w:tcPr>
            <w:tcW w:w="1542" w:type="pct"/>
          </w:tcPr>
          <w:p w14:paraId="3979ABB7" w14:textId="77777777" w:rsidR="00CA3B65" w:rsidRDefault="00CA3B65" w:rsidP="002C5539">
            <w:r>
              <w:t>Implement Role-Based Access Controls to help restrict data access based on job function. Create a least privilege policy and schedule access reviews periodically.</w:t>
            </w:r>
          </w:p>
        </w:tc>
        <w:tc>
          <w:tcPr>
            <w:tcW w:w="555" w:type="pct"/>
          </w:tcPr>
          <w:p w14:paraId="0BBD59EF" w14:textId="77777777" w:rsidR="00CA3B65" w:rsidRDefault="00CA3B65" w:rsidP="002C5539">
            <w:r>
              <w:t>NIST SP 800-53 AC-6 + PCI DSS Req 7</w:t>
            </w:r>
          </w:p>
        </w:tc>
        <w:tc>
          <w:tcPr>
            <w:tcW w:w="410" w:type="pct"/>
            <w:shd w:val="clear" w:color="auto" w:fill="FCB4C0"/>
          </w:tcPr>
          <w:p w14:paraId="7A2FE01D" w14:textId="77777777" w:rsidR="00CA3B65" w:rsidRDefault="00CA3B65" w:rsidP="002C5539">
            <w:r>
              <w:t>High</w:t>
            </w:r>
          </w:p>
        </w:tc>
        <w:tc>
          <w:tcPr>
            <w:tcW w:w="660" w:type="pct"/>
            <w:shd w:val="clear" w:color="auto" w:fill="FCB4C0"/>
          </w:tcPr>
          <w:p w14:paraId="19B5C4E1" w14:textId="77777777" w:rsidR="00CA3B65" w:rsidRDefault="00CA3B65" w:rsidP="002C5539">
            <w:r>
              <w:t>Immediate</w:t>
            </w:r>
          </w:p>
        </w:tc>
      </w:tr>
      <w:tr w:rsidR="00CA3B65" w14:paraId="5056705C" w14:textId="77777777" w:rsidTr="005A28F2">
        <w:tc>
          <w:tcPr>
            <w:tcW w:w="389" w:type="pct"/>
          </w:tcPr>
          <w:p w14:paraId="7D7B046C" w14:textId="77777777" w:rsidR="00CA3B65" w:rsidRPr="00DD11EA" w:rsidRDefault="00CA3B65" w:rsidP="002C5539">
            <w:pPr>
              <w:rPr>
                <w:b/>
                <w:bCs/>
              </w:rPr>
            </w:pPr>
            <w:r w:rsidRPr="00DD11EA">
              <w:rPr>
                <w:b/>
                <w:bCs/>
              </w:rPr>
              <w:t>3</w:t>
            </w:r>
          </w:p>
        </w:tc>
        <w:tc>
          <w:tcPr>
            <w:tcW w:w="434" w:type="pct"/>
            <w:shd w:val="clear" w:color="auto" w:fill="FAE2D5" w:themeFill="accent2" w:themeFillTint="33"/>
          </w:tcPr>
          <w:p w14:paraId="7365AA07" w14:textId="77777777" w:rsidR="00CA3B65" w:rsidRDefault="00CA3B65" w:rsidP="002C5539">
            <w:r>
              <w:t>High</w:t>
            </w:r>
          </w:p>
        </w:tc>
        <w:tc>
          <w:tcPr>
            <w:tcW w:w="1009" w:type="pct"/>
          </w:tcPr>
          <w:p w14:paraId="1E38C60E" w14:textId="77777777" w:rsidR="00CA3B65" w:rsidRDefault="00CA3B65" w:rsidP="002C5539">
            <w:r>
              <w:t>Weak Password Policy &amp; No Central Password Manager</w:t>
            </w:r>
          </w:p>
        </w:tc>
        <w:tc>
          <w:tcPr>
            <w:tcW w:w="1542" w:type="pct"/>
          </w:tcPr>
          <w:p w14:paraId="0312D624" w14:textId="77777777" w:rsidR="00CA3B65" w:rsidRDefault="00CA3B65" w:rsidP="002C5539">
            <w:r>
              <w:t>Thoroughly update the password policy to meet NIST SP 800-63B and PCI DSS Req 8 standards. Implement a centralized password management system to enforce compliance.</w:t>
            </w:r>
          </w:p>
        </w:tc>
        <w:tc>
          <w:tcPr>
            <w:tcW w:w="555" w:type="pct"/>
          </w:tcPr>
          <w:p w14:paraId="04ADC865" w14:textId="77777777" w:rsidR="00CA3B65" w:rsidRDefault="00CA3B65" w:rsidP="002C5539">
            <w:r>
              <w:t>NIST SP 800-63B + PCI DSS Req 8</w:t>
            </w:r>
          </w:p>
        </w:tc>
        <w:tc>
          <w:tcPr>
            <w:tcW w:w="410" w:type="pct"/>
            <w:shd w:val="clear" w:color="auto" w:fill="F9ECA0"/>
          </w:tcPr>
          <w:p w14:paraId="19ED8FB5" w14:textId="77777777" w:rsidR="00CA3B65" w:rsidRDefault="00CA3B65" w:rsidP="002C5539">
            <w:r>
              <w:t>Medium</w:t>
            </w:r>
          </w:p>
        </w:tc>
        <w:tc>
          <w:tcPr>
            <w:tcW w:w="660" w:type="pct"/>
            <w:shd w:val="clear" w:color="auto" w:fill="FAE2D5" w:themeFill="accent2" w:themeFillTint="33"/>
          </w:tcPr>
          <w:p w14:paraId="49AEC207" w14:textId="77777777" w:rsidR="00CA3B65" w:rsidRDefault="00CA3B65" w:rsidP="002C5539">
            <w:r>
              <w:t>Short Term (30-60 Days)</w:t>
            </w:r>
          </w:p>
        </w:tc>
      </w:tr>
      <w:tr w:rsidR="00CA3B65" w14:paraId="4E609336" w14:textId="77777777" w:rsidTr="005A28F2">
        <w:tc>
          <w:tcPr>
            <w:tcW w:w="389" w:type="pct"/>
          </w:tcPr>
          <w:p w14:paraId="1F215DAE" w14:textId="77777777" w:rsidR="00CA3B65" w:rsidRPr="00DD11EA" w:rsidRDefault="00CA3B65" w:rsidP="002C5539">
            <w:pPr>
              <w:rPr>
                <w:b/>
                <w:bCs/>
              </w:rPr>
            </w:pPr>
            <w:r w:rsidRPr="00DD11EA">
              <w:rPr>
                <w:b/>
                <w:bCs/>
              </w:rPr>
              <w:t>4</w:t>
            </w:r>
          </w:p>
        </w:tc>
        <w:tc>
          <w:tcPr>
            <w:tcW w:w="434" w:type="pct"/>
            <w:shd w:val="clear" w:color="auto" w:fill="FAE2D5" w:themeFill="accent2" w:themeFillTint="33"/>
          </w:tcPr>
          <w:p w14:paraId="5E139109" w14:textId="77777777" w:rsidR="00CA3B65" w:rsidRDefault="00CA3B65" w:rsidP="002C5539">
            <w:r>
              <w:t>High</w:t>
            </w:r>
          </w:p>
        </w:tc>
        <w:tc>
          <w:tcPr>
            <w:tcW w:w="1009" w:type="pct"/>
          </w:tcPr>
          <w:p w14:paraId="2FAFE248" w14:textId="77777777" w:rsidR="00CA3B65" w:rsidRDefault="00CA3B65" w:rsidP="002C5539">
            <w:r>
              <w:t>Lack of Disaster Recovery Plan &amp; Data Backups</w:t>
            </w:r>
          </w:p>
        </w:tc>
        <w:tc>
          <w:tcPr>
            <w:tcW w:w="1542" w:type="pct"/>
          </w:tcPr>
          <w:p w14:paraId="0988C019" w14:textId="77777777" w:rsidR="00CA3B65" w:rsidRDefault="00CA3B65" w:rsidP="002C5539">
            <w:r>
              <w:t>Create a formal DRP aligned with NIST SP 800-34 that included RTOs and RPOs. Automate backup schedules and store backups offsite.</w:t>
            </w:r>
          </w:p>
        </w:tc>
        <w:tc>
          <w:tcPr>
            <w:tcW w:w="555" w:type="pct"/>
          </w:tcPr>
          <w:p w14:paraId="5E3E2DB0" w14:textId="77777777" w:rsidR="00CA3B65" w:rsidRDefault="00CA3B65" w:rsidP="002C5539">
            <w:r>
              <w:t>NIST SP 800-34 + NIST SP 800-53 CP-9 + PCI DSS Req 12</w:t>
            </w:r>
          </w:p>
        </w:tc>
        <w:tc>
          <w:tcPr>
            <w:tcW w:w="410" w:type="pct"/>
            <w:shd w:val="clear" w:color="auto" w:fill="FCB4C0"/>
          </w:tcPr>
          <w:p w14:paraId="126B9208" w14:textId="77777777" w:rsidR="00CA3B65" w:rsidRDefault="00CA3B65" w:rsidP="002C5539">
            <w:r>
              <w:t>High</w:t>
            </w:r>
          </w:p>
        </w:tc>
        <w:tc>
          <w:tcPr>
            <w:tcW w:w="660" w:type="pct"/>
            <w:shd w:val="clear" w:color="auto" w:fill="FAE2D5" w:themeFill="accent2" w:themeFillTint="33"/>
          </w:tcPr>
          <w:p w14:paraId="43CDEF42" w14:textId="77777777" w:rsidR="00CA3B65" w:rsidRDefault="00CA3B65" w:rsidP="002C5539">
            <w:r>
              <w:t>Short Term (30-60 Days)</w:t>
            </w:r>
          </w:p>
        </w:tc>
      </w:tr>
      <w:tr w:rsidR="00CA3B65" w14:paraId="663BE965" w14:textId="77777777" w:rsidTr="005A28F2">
        <w:tc>
          <w:tcPr>
            <w:tcW w:w="389" w:type="pct"/>
          </w:tcPr>
          <w:p w14:paraId="69FC6F75" w14:textId="77777777" w:rsidR="00CA3B65" w:rsidRPr="00DD11EA" w:rsidRDefault="00CA3B65" w:rsidP="002C5539">
            <w:pPr>
              <w:rPr>
                <w:b/>
                <w:bCs/>
              </w:rPr>
            </w:pPr>
            <w:r w:rsidRPr="00DD11EA">
              <w:rPr>
                <w:b/>
                <w:bCs/>
              </w:rPr>
              <w:t>5</w:t>
            </w:r>
          </w:p>
        </w:tc>
        <w:tc>
          <w:tcPr>
            <w:tcW w:w="434" w:type="pct"/>
            <w:shd w:val="clear" w:color="auto" w:fill="F9ECA0"/>
          </w:tcPr>
          <w:p w14:paraId="144CCA7A" w14:textId="77777777" w:rsidR="00CA3B65" w:rsidRDefault="00CA3B65" w:rsidP="002C5539">
            <w:r>
              <w:t>Medium</w:t>
            </w:r>
          </w:p>
        </w:tc>
        <w:tc>
          <w:tcPr>
            <w:tcW w:w="1009" w:type="pct"/>
          </w:tcPr>
          <w:p w14:paraId="61005E2B" w14:textId="77777777" w:rsidR="00CA3B65" w:rsidRDefault="00CA3B65" w:rsidP="002C5539">
            <w:r>
              <w:t>Lack of Intrusion Detection System (IDS) in place</w:t>
            </w:r>
          </w:p>
        </w:tc>
        <w:tc>
          <w:tcPr>
            <w:tcW w:w="1542" w:type="pct"/>
          </w:tcPr>
          <w:p w14:paraId="66298C22" w14:textId="77777777" w:rsidR="00CA3B65" w:rsidRDefault="00CA3B65" w:rsidP="002C5539">
            <w:r>
              <w:t>Create a network-based IDS that is aligned with the NIST SP 800-53 SI-4. Establish a formal monitoring policy that is integrated with the IDS and incident response process.</w:t>
            </w:r>
          </w:p>
        </w:tc>
        <w:tc>
          <w:tcPr>
            <w:tcW w:w="555" w:type="pct"/>
          </w:tcPr>
          <w:p w14:paraId="62F1DF7F" w14:textId="77777777" w:rsidR="00CA3B65" w:rsidRDefault="00CA3B65" w:rsidP="002C5539">
            <w:r>
              <w:t>NIST SP 800-53 SI-4 + NIST CSF Detect</w:t>
            </w:r>
          </w:p>
        </w:tc>
        <w:tc>
          <w:tcPr>
            <w:tcW w:w="410" w:type="pct"/>
            <w:shd w:val="clear" w:color="auto" w:fill="F9ECA0"/>
          </w:tcPr>
          <w:p w14:paraId="74180198" w14:textId="77777777" w:rsidR="00CA3B65" w:rsidRDefault="00CA3B65" w:rsidP="002C5539">
            <w:r>
              <w:t>Medium</w:t>
            </w:r>
          </w:p>
        </w:tc>
        <w:tc>
          <w:tcPr>
            <w:tcW w:w="660" w:type="pct"/>
            <w:shd w:val="clear" w:color="auto" w:fill="D9F2D0" w:themeFill="accent6" w:themeFillTint="33"/>
          </w:tcPr>
          <w:p w14:paraId="58022B17" w14:textId="77777777" w:rsidR="00CA3B65" w:rsidRDefault="00CA3B65" w:rsidP="002C5539">
            <w:r>
              <w:t>Long Term (60-90 Days)</w:t>
            </w:r>
          </w:p>
        </w:tc>
      </w:tr>
    </w:tbl>
    <w:p w14:paraId="75A1579E" w14:textId="122E23B4" w:rsidR="00D6708C" w:rsidRDefault="00D6708C"/>
    <w:sectPr w:rsidR="00D6708C" w:rsidSect="00385AF3">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1A3"/>
    <w:rsid w:val="00034499"/>
    <w:rsid w:val="000559A2"/>
    <w:rsid w:val="000D7518"/>
    <w:rsid w:val="00226301"/>
    <w:rsid w:val="00303450"/>
    <w:rsid w:val="00385AF3"/>
    <w:rsid w:val="003B55D3"/>
    <w:rsid w:val="00433BE8"/>
    <w:rsid w:val="004610D0"/>
    <w:rsid w:val="004811A3"/>
    <w:rsid w:val="00535A3E"/>
    <w:rsid w:val="005A28F2"/>
    <w:rsid w:val="006328E1"/>
    <w:rsid w:val="006A156B"/>
    <w:rsid w:val="00797644"/>
    <w:rsid w:val="00812418"/>
    <w:rsid w:val="00814871"/>
    <w:rsid w:val="0082289D"/>
    <w:rsid w:val="00837ABB"/>
    <w:rsid w:val="00AE4317"/>
    <w:rsid w:val="00B843A7"/>
    <w:rsid w:val="00B91390"/>
    <w:rsid w:val="00BF2187"/>
    <w:rsid w:val="00BF2B51"/>
    <w:rsid w:val="00C4222B"/>
    <w:rsid w:val="00CA3B65"/>
    <w:rsid w:val="00CB4123"/>
    <w:rsid w:val="00D01D21"/>
    <w:rsid w:val="00D64C27"/>
    <w:rsid w:val="00D6708C"/>
    <w:rsid w:val="00DD11EA"/>
    <w:rsid w:val="00DD4E50"/>
    <w:rsid w:val="00E218D0"/>
    <w:rsid w:val="00E447CD"/>
    <w:rsid w:val="00E50CC1"/>
    <w:rsid w:val="00ED1711"/>
    <w:rsid w:val="00F25267"/>
    <w:rsid w:val="00F648EA"/>
    <w:rsid w:val="00F70861"/>
    <w:rsid w:val="00FA0EF4"/>
    <w:rsid w:val="00FB0E98"/>
    <w:rsid w:val="00FB51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451DA4"/>
  <w15:chartTrackingRefBased/>
  <w15:docId w15:val="{E2C61A1B-E221-9A44-BF36-1D6360803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1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1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1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1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1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1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1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1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1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1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1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1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1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1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1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1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1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1A3"/>
    <w:rPr>
      <w:rFonts w:eastAsiaTheme="majorEastAsia" w:cstheme="majorBidi"/>
      <w:color w:val="272727" w:themeColor="text1" w:themeTint="D8"/>
    </w:rPr>
  </w:style>
  <w:style w:type="paragraph" w:styleId="Title">
    <w:name w:val="Title"/>
    <w:basedOn w:val="Normal"/>
    <w:next w:val="Normal"/>
    <w:link w:val="TitleChar"/>
    <w:uiPriority w:val="10"/>
    <w:qFormat/>
    <w:rsid w:val="004811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1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1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1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1A3"/>
    <w:pPr>
      <w:spacing w:before="160"/>
      <w:jc w:val="center"/>
    </w:pPr>
    <w:rPr>
      <w:i/>
      <w:iCs/>
      <w:color w:val="404040" w:themeColor="text1" w:themeTint="BF"/>
    </w:rPr>
  </w:style>
  <w:style w:type="character" w:customStyle="1" w:styleId="QuoteChar">
    <w:name w:val="Quote Char"/>
    <w:basedOn w:val="DefaultParagraphFont"/>
    <w:link w:val="Quote"/>
    <w:uiPriority w:val="29"/>
    <w:rsid w:val="004811A3"/>
    <w:rPr>
      <w:i/>
      <w:iCs/>
      <w:color w:val="404040" w:themeColor="text1" w:themeTint="BF"/>
    </w:rPr>
  </w:style>
  <w:style w:type="paragraph" w:styleId="ListParagraph">
    <w:name w:val="List Paragraph"/>
    <w:basedOn w:val="Normal"/>
    <w:uiPriority w:val="34"/>
    <w:qFormat/>
    <w:rsid w:val="004811A3"/>
    <w:pPr>
      <w:ind w:left="720"/>
      <w:contextualSpacing/>
    </w:pPr>
  </w:style>
  <w:style w:type="character" w:styleId="IntenseEmphasis">
    <w:name w:val="Intense Emphasis"/>
    <w:basedOn w:val="DefaultParagraphFont"/>
    <w:uiPriority w:val="21"/>
    <w:qFormat/>
    <w:rsid w:val="004811A3"/>
    <w:rPr>
      <w:i/>
      <w:iCs/>
      <w:color w:val="0F4761" w:themeColor="accent1" w:themeShade="BF"/>
    </w:rPr>
  </w:style>
  <w:style w:type="paragraph" w:styleId="IntenseQuote">
    <w:name w:val="Intense Quote"/>
    <w:basedOn w:val="Normal"/>
    <w:next w:val="Normal"/>
    <w:link w:val="IntenseQuoteChar"/>
    <w:uiPriority w:val="30"/>
    <w:qFormat/>
    <w:rsid w:val="004811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1A3"/>
    <w:rPr>
      <w:i/>
      <w:iCs/>
      <w:color w:val="0F4761" w:themeColor="accent1" w:themeShade="BF"/>
    </w:rPr>
  </w:style>
  <w:style w:type="character" w:styleId="IntenseReference">
    <w:name w:val="Intense Reference"/>
    <w:basedOn w:val="DefaultParagraphFont"/>
    <w:uiPriority w:val="32"/>
    <w:qFormat/>
    <w:rsid w:val="004811A3"/>
    <w:rPr>
      <w:b/>
      <w:bCs/>
      <w:smallCaps/>
      <w:color w:val="0F4761" w:themeColor="accent1" w:themeShade="BF"/>
      <w:spacing w:val="5"/>
    </w:rPr>
  </w:style>
  <w:style w:type="table" w:styleId="TableGrid">
    <w:name w:val="Table Grid"/>
    <w:basedOn w:val="TableNormal"/>
    <w:uiPriority w:val="39"/>
    <w:rsid w:val="006A15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354</Words>
  <Characters>2022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Aiello, Richard Francis</dc:creator>
  <cp:keywords/>
  <dc:description/>
  <cp:lastModifiedBy>Aiello, Richard Francis</cp:lastModifiedBy>
  <cp:revision>2</cp:revision>
  <dcterms:created xsi:type="dcterms:W3CDTF">2026-08-19T20:06:00Z</dcterms:created>
  <dcterms:modified xsi:type="dcterms:W3CDTF">2026-08-19T20:06:00Z</dcterms:modified>
</cp:coreProperties>
</file>