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4E5C9" w14:textId="347E2468" w:rsidR="008321A3" w:rsidRDefault="00831E3D" w:rsidP="001A22C5">
      <w:pPr>
        <w:pStyle w:val="Title"/>
      </w:pPr>
      <w:r w:rsidRPr="001A22C5">
        <w:t>Synthetically Controlled Trials</w:t>
      </w:r>
      <w:r w:rsidR="001A22C5">
        <w:t xml:space="preserve"> in Clinical Research</w:t>
      </w:r>
    </w:p>
    <w:p w14:paraId="61B38F5F" w14:textId="77777777" w:rsidR="001A22C5" w:rsidRDefault="001A22C5" w:rsidP="001A22C5"/>
    <w:p w14:paraId="718FAA2F" w14:textId="64B61A80" w:rsidR="001A22C5" w:rsidRDefault="001A22C5" w:rsidP="001A22C5">
      <w:pPr>
        <w:pStyle w:val="Heading1"/>
      </w:pPr>
      <w:r>
        <w:t>Authors and Affiliation</w:t>
      </w:r>
    </w:p>
    <w:p w14:paraId="26B0ACE0" w14:textId="77777777" w:rsidR="001A22C5" w:rsidRDefault="001A22C5" w:rsidP="001A22C5"/>
    <w:p w14:paraId="7F9B9C46" w14:textId="65C3F56C" w:rsidR="001A22C5" w:rsidRDefault="001A22C5" w:rsidP="001A22C5">
      <w:r>
        <w:t>Richard Jackson</w:t>
      </w:r>
      <w:r w:rsidRPr="001A22C5">
        <w:rPr>
          <w:vertAlign w:val="superscript"/>
        </w:rPr>
        <w:t>1</w:t>
      </w:r>
    </w:p>
    <w:p w14:paraId="41ACC4D8" w14:textId="2504062B" w:rsidR="001A22C5" w:rsidRDefault="001A22C5" w:rsidP="001A22C5">
      <w:r>
        <w:t>Nicole Cizauskas</w:t>
      </w:r>
      <w:r w:rsidRPr="001A22C5">
        <w:rPr>
          <w:vertAlign w:val="superscript"/>
        </w:rPr>
        <w:t>1</w:t>
      </w:r>
    </w:p>
    <w:p w14:paraId="4F4089E4" w14:textId="3E873EEF" w:rsidR="001A22C5" w:rsidRDefault="001A22C5" w:rsidP="001A22C5">
      <w:proofErr w:type="spellStart"/>
      <w:r>
        <w:t>Kusqaum</w:t>
      </w:r>
      <w:proofErr w:type="spellEnd"/>
      <w:r>
        <w:t xml:space="preserve"> Adam</w:t>
      </w:r>
      <w:r w:rsidRPr="001A22C5">
        <w:rPr>
          <w:vertAlign w:val="superscript"/>
        </w:rPr>
        <w:t>1</w:t>
      </w:r>
    </w:p>
    <w:p w14:paraId="7F321663" w14:textId="056B7997" w:rsidR="001A22C5" w:rsidRPr="001A22C5" w:rsidRDefault="001A22C5" w:rsidP="001A22C5">
      <w:r>
        <w:t>Thomas Spain</w:t>
      </w:r>
      <w:r w:rsidRPr="001A22C5">
        <w:rPr>
          <w:vertAlign w:val="superscript"/>
        </w:rPr>
        <w:t>1</w:t>
      </w:r>
    </w:p>
    <w:p w14:paraId="5ACC668C" w14:textId="77777777" w:rsidR="00831E3D" w:rsidRDefault="00831E3D" w:rsidP="00831E3D"/>
    <w:p w14:paraId="4B955231" w14:textId="0D850F39" w:rsidR="001A22C5" w:rsidRDefault="001A22C5" w:rsidP="001A22C5">
      <w:pPr>
        <w:pStyle w:val="ListParagraph"/>
        <w:numPr>
          <w:ilvl w:val="0"/>
          <w:numId w:val="8"/>
        </w:numPr>
      </w:pPr>
      <w:r>
        <w:t>Department of Health Data Science, Liverpool University</w:t>
      </w:r>
    </w:p>
    <w:p w14:paraId="26269BC2" w14:textId="266F0E51" w:rsidR="001A22C5" w:rsidRPr="001A22C5" w:rsidRDefault="001A22C5" w:rsidP="001A22C5">
      <w:pPr>
        <w:pStyle w:val="ListParagraph"/>
        <w:numPr>
          <w:ilvl w:val="0"/>
          <w:numId w:val="8"/>
        </w:numPr>
      </w:pPr>
      <w:r>
        <w:t>University of Newcastle Upon Tyne</w:t>
      </w:r>
    </w:p>
    <w:p w14:paraId="47EA5C3E" w14:textId="77777777" w:rsidR="00831E3D" w:rsidRPr="001A22C5" w:rsidRDefault="00831E3D" w:rsidP="00831E3D"/>
    <w:p w14:paraId="23492F00" w14:textId="44A5B05C" w:rsidR="001A22C5" w:rsidRDefault="001A22C5"/>
    <w:p w14:paraId="6FC6D0FA" w14:textId="77777777" w:rsidR="001A22C5" w:rsidRDefault="001A22C5">
      <w:pPr>
        <w:rPr>
          <w:rFonts w:asciiTheme="majorHAnsi" w:eastAsiaTheme="majorEastAsia" w:hAnsiTheme="majorHAnsi" w:cstheme="majorBidi"/>
          <w:color w:val="0F4761" w:themeColor="accent1" w:themeShade="BF"/>
          <w:sz w:val="40"/>
          <w:szCs w:val="40"/>
        </w:rPr>
      </w:pPr>
      <w:r>
        <w:br w:type="page"/>
      </w:r>
    </w:p>
    <w:p w14:paraId="5C2154D1" w14:textId="236B8B2C" w:rsidR="00831E3D" w:rsidRPr="001A22C5" w:rsidRDefault="00831E3D" w:rsidP="001A22C5">
      <w:pPr>
        <w:pStyle w:val="Heading1"/>
      </w:pPr>
      <w:r w:rsidRPr="001A22C5">
        <w:lastRenderedPageBreak/>
        <w:t>Introduction</w:t>
      </w:r>
    </w:p>
    <w:p w14:paraId="44850C44" w14:textId="77777777" w:rsidR="00486A83" w:rsidRPr="001A22C5" w:rsidRDefault="00486A83" w:rsidP="00831E3D"/>
    <w:p w14:paraId="086E8C02" w14:textId="45D9069E" w:rsidR="00831E3D" w:rsidRDefault="009004A0" w:rsidP="00980F25">
      <w:r>
        <w:t>Randomised Controlled Trials (RCTs)</w:t>
      </w:r>
      <w:r w:rsidR="0067527C">
        <w:t xml:space="preserve"> the gold standard of clinical research due to their ability to provide reliable causal estimates of a </w:t>
      </w:r>
      <w:proofErr w:type="gramStart"/>
      <w:r w:rsidR="0067527C">
        <w:t>treatments</w:t>
      </w:r>
      <w:proofErr w:type="gramEnd"/>
      <w:r w:rsidR="0067527C">
        <w:t xml:space="preserve"> efficacy against some control.</w:t>
      </w:r>
      <w:r>
        <w:t xml:space="preserve">  Their quality comes at a cost however with large numbers of patients, and consequently time and money, required.</w:t>
      </w:r>
    </w:p>
    <w:p w14:paraId="5DFEF971" w14:textId="77777777" w:rsidR="0067527C" w:rsidRDefault="0067527C" w:rsidP="0067527C"/>
    <w:p w14:paraId="19B45AF7" w14:textId="7E3200F0" w:rsidR="0067527C" w:rsidRDefault="0067527C" w:rsidP="0067527C">
      <w:r>
        <w:t xml:space="preserve">This problem is heightened in areas such as rare diseases or early phase trial design were resources are </w:t>
      </w:r>
      <w:r w:rsidR="009004A0">
        <w:t xml:space="preserve">often </w:t>
      </w:r>
      <w:r>
        <w:t xml:space="preserve">scarce.  Here the stringent rules of demonstrating efficacy are </w:t>
      </w:r>
      <w:r w:rsidR="009004A0">
        <w:t xml:space="preserve">often </w:t>
      </w:r>
      <w:r>
        <w:t>relaxed, either by design or necessity.</w:t>
      </w:r>
      <w:r>
        <w:t xml:space="preserve">  </w:t>
      </w:r>
    </w:p>
    <w:p w14:paraId="586E9FC6" w14:textId="77777777" w:rsidR="0067527C" w:rsidRDefault="0067527C" w:rsidP="0067527C"/>
    <w:p w14:paraId="04E07303" w14:textId="30635E27" w:rsidR="0067527C" w:rsidRDefault="0067527C" w:rsidP="0067527C">
      <w:r>
        <w:t>With the exception perhaps of phase 1, the aim at the onset of any trial is to obtain a causal estimate of the effect of an experimental treatment</w:t>
      </w:r>
      <w:r w:rsidR="00833B39">
        <w:t xml:space="preserve"> against some standard of care</w:t>
      </w:r>
      <w:r>
        <w:t>.</w:t>
      </w:r>
      <w:r w:rsidR="009004A0">
        <w:t xml:space="preserve">  </w:t>
      </w:r>
      <w:r w:rsidR="009004A0">
        <w:t>Often in these settings single arm trials are used but without a comparator it is difficult to provide any</w:t>
      </w:r>
      <w:r w:rsidR="009004A0">
        <w:t xml:space="preserve"> reliable estimate of efficacy.</w:t>
      </w:r>
    </w:p>
    <w:p w14:paraId="714F0EE8" w14:textId="558BA2C9" w:rsidR="0067527C" w:rsidRDefault="0067527C" w:rsidP="00831E3D"/>
    <w:p w14:paraId="557E80E2" w14:textId="7B0D7746" w:rsidR="0067527C" w:rsidRDefault="009004A0" w:rsidP="00831E3D">
      <w:r>
        <w:t>RCTs are conducted from a position of enforced ignorance</w:t>
      </w:r>
      <w:r w:rsidR="00833B39">
        <w:t xml:space="preserve"> with the acceptance that all information of a treatment effect will be obtained from the trial data.   This is beneficial for internal consistency and providing a causal effect free of bias.  </w:t>
      </w:r>
      <w:proofErr w:type="gramStart"/>
      <w:r w:rsidR="00833B39">
        <w:t>However</w:t>
      </w:r>
      <w:proofErr w:type="gramEnd"/>
      <w:r w:rsidR="00833B39">
        <w:t xml:space="preserve"> it is naïve </w:t>
      </w:r>
      <w:r w:rsidR="0067527C">
        <w:t xml:space="preserve">to think no information </w:t>
      </w:r>
      <w:r w:rsidR="00833B39">
        <w:t xml:space="preserve">on the control arm </w:t>
      </w:r>
      <w:r w:rsidR="0067527C">
        <w:t>exists</w:t>
      </w:r>
      <w:r w:rsidR="00833B39">
        <w:t xml:space="preserve"> prior to the trial.  </w:t>
      </w:r>
      <w:proofErr w:type="gramStart"/>
      <w:r w:rsidR="00833B39">
        <w:t>Indeed</w:t>
      </w:r>
      <w:proofErr w:type="gramEnd"/>
      <w:r w:rsidR="00833B39">
        <w:t xml:space="preserve"> this information is often required for the study design.  What is more, this information is increasing through t</w:t>
      </w:r>
      <w:r w:rsidR="0067527C">
        <w:t>he availability of external</w:t>
      </w:r>
      <w:r w:rsidR="00833B39">
        <w:t xml:space="preserve"> registry/observational</w:t>
      </w:r>
      <w:r w:rsidR="0067527C">
        <w:t xml:space="preserve"> data</w:t>
      </w:r>
      <w:r w:rsidR="00833B39">
        <w:t xml:space="preserve"> and </w:t>
      </w:r>
      <w:r w:rsidR="0067527C">
        <w:t>previously conducted studies.</w:t>
      </w:r>
    </w:p>
    <w:p w14:paraId="29538A26" w14:textId="77777777" w:rsidR="001A22C5" w:rsidRPr="00980F25" w:rsidRDefault="001A22C5" w:rsidP="00980F25"/>
    <w:p w14:paraId="02BB08EE" w14:textId="6ED3818D" w:rsidR="00FE187C" w:rsidRPr="00980F25" w:rsidRDefault="00833B39" w:rsidP="00980F25">
      <w:pPr>
        <w:rPr>
          <w:rStyle w:val="apple-converted-space"/>
        </w:rPr>
      </w:pPr>
      <w:r w:rsidRPr="00980F25">
        <w:t xml:space="preserve">The aim of supplementing prospective trials with external information has </w:t>
      </w:r>
      <w:r w:rsidR="00DF564B" w:rsidRPr="00980F25">
        <w:t>long be</w:t>
      </w:r>
      <w:r w:rsidR="00403E29" w:rsidRPr="00980F25">
        <w:t>e</w:t>
      </w:r>
      <w:r w:rsidR="00DF564B" w:rsidRPr="00980F25">
        <w:t xml:space="preserve">n explored.  </w:t>
      </w:r>
      <w:r w:rsidR="00FE187C" w:rsidRPr="00980F25">
        <w:t>Pocock [1] first discussed the use of historically controlled trials where single arm data are compared against external information.</w:t>
      </w:r>
      <w:r w:rsidR="00403E29" w:rsidRPr="00980F25">
        <w:t xml:space="preserve">  This application </w:t>
      </w:r>
      <w:r w:rsidR="00FE187C" w:rsidRPr="00980F25">
        <w:t xml:space="preserve">fits naturally within the Bayesian framework where the prospective data are used to update prior beliefs. </w:t>
      </w:r>
      <w:r w:rsidR="00403E29" w:rsidRPr="00980F25">
        <w:t xml:space="preserve"> </w:t>
      </w:r>
      <w:r w:rsidR="00FE187C" w:rsidRPr="00980F25">
        <w:t xml:space="preserve">More </w:t>
      </w:r>
      <w:r w:rsidR="00FE187C" w:rsidRPr="00980F25">
        <w:rPr>
          <w:rStyle w:val="apple-converted-space"/>
        </w:rPr>
        <w:t>recently Neuenschwander et al [</w:t>
      </w:r>
      <w:r w:rsidR="00403E29" w:rsidRPr="00980F25">
        <w:rPr>
          <w:rStyle w:val="apple-converted-space"/>
        </w:rPr>
        <w:t>2</w:t>
      </w:r>
      <w:r w:rsidR="00FE187C" w:rsidRPr="00980F25">
        <w:rPr>
          <w:rStyle w:val="apple-converted-space"/>
        </w:rPr>
        <w:t>] have explored approached to including histori</w:t>
      </w:r>
      <w:r w:rsidR="00A4320E" w:rsidRPr="00980F25">
        <w:rPr>
          <w:rStyle w:val="apple-converted-space"/>
        </w:rPr>
        <w:t>c</w:t>
      </w:r>
      <w:r w:rsidR="00FE187C" w:rsidRPr="00980F25">
        <w:rPr>
          <w:rStyle w:val="apple-converted-space"/>
        </w:rPr>
        <w:t>al information on control arms in clinical trials.</w:t>
      </w:r>
    </w:p>
    <w:p w14:paraId="207AC090" w14:textId="77777777" w:rsidR="00965173" w:rsidRPr="00980F25" w:rsidRDefault="00965173" w:rsidP="00980F25">
      <w:pPr>
        <w:rPr>
          <w:rStyle w:val="apple-converted-space"/>
        </w:rPr>
      </w:pPr>
    </w:p>
    <w:p w14:paraId="6249F658" w14:textId="26140246" w:rsidR="00ED2A17" w:rsidRPr="00980F25" w:rsidRDefault="00980F25" w:rsidP="00980F25">
      <w:pPr>
        <w:rPr>
          <w:rStyle w:val="apple-converted-space"/>
        </w:rPr>
      </w:pPr>
      <w:r w:rsidRPr="00980F25">
        <w:rPr>
          <w:rStyle w:val="apple-converted-space"/>
        </w:rPr>
        <w:t>T</w:t>
      </w:r>
      <w:r w:rsidR="00403E29" w:rsidRPr="00980F25">
        <w:rPr>
          <w:rStyle w:val="apple-converted-space"/>
        </w:rPr>
        <w:t xml:space="preserve">he </w:t>
      </w:r>
      <w:r w:rsidRPr="00980F25">
        <w:rPr>
          <w:rStyle w:val="apple-converted-space"/>
        </w:rPr>
        <w:t>increasing potential for</w:t>
      </w:r>
      <w:r w:rsidR="00403E29" w:rsidRPr="00980F25">
        <w:rPr>
          <w:rStyle w:val="apple-converted-space"/>
        </w:rPr>
        <w:t xml:space="preserve"> externally controlled </w:t>
      </w:r>
      <w:r w:rsidRPr="00980F25">
        <w:rPr>
          <w:rStyle w:val="apple-converted-space"/>
        </w:rPr>
        <w:t xml:space="preserve">trials has </w:t>
      </w:r>
      <w:proofErr w:type="spellStart"/>
      <w:r w:rsidRPr="00980F25">
        <w:rPr>
          <w:rStyle w:val="apple-converted-space"/>
        </w:rPr>
        <w:t>lead</w:t>
      </w:r>
      <w:proofErr w:type="spellEnd"/>
      <w:r w:rsidRPr="00980F25">
        <w:rPr>
          <w:rStyle w:val="apple-converted-space"/>
        </w:rPr>
        <w:t xml:space="preserve"> to guidance from regulatory bodies [3]</w:t>
      </w:r>
      <w:r>
        <w:rPr>
          <w:rStyle w:val="apple-converted-space"/>
        </w:rPr>
        <w:t xml:space="preserve"> a</w:t>
      </w:r>
      <w:r w:rsidRPr="00980F25">
        <w:rPr>
          <w:rStyle w:val="apple-converted-space"/>
        </w:rPr>
        <w:t>nd increasing discussion as to their appropriate use and application[</w:t>
      </w:r>
      <w:r w:rsidR="00ED2A17" w:rsidRPr="00980F25">
        <w:rPr>
          <w:rStyle w:val="apple-converted-space"/>
        </w:rPr>
        <w:t xml:space="preserve"> guidance for their use in clinical research [</w:t>
      </w:r>
      <w:r w:rsidRPr="00980F25">
        <w:rPr>
          <w:rStyle w:val="apple-converted-space"/>
        </w:rPr>
        <w:t>4</w:t>
      </w:r>
      <w:r w:rsidR="002651EE">
        <w:rPr>
          <w:rStyle w:val="apple-converted-space"/>
        </w:rPr>
        <w:t>-8</w:t>
      </w:r>
      <w:r w:rsidR="00ED2A17" w:rsidRPr="00980F25">
        <w:rPr>
          <w:rStyle w:val="apple-converted-space"/>
        </w:rPr>
        <w:t>]</w:t>
      </w:r>
      <w:r w:rsidRPr="00980F25">
        <w:rPr>
          <w:rStyle w:val="apple-converted-space"/>
        </w:rPr>
        <w:t>.</w:t>
      </w:r>
      <w:r w:rsidR="009C4418">
        <w:rPr>
          <w:rStyle w:val="apple-converted-space"/>
        </w:rPr>
        <w:t xml:space="preserve">  In practice, growing examples of the use of digital twins [9</w:t>
      </w:r>
      <w:r w:rsidR="002651EE">
        <w:rPr>
          <w:rStyle w:val="apple-converted-space"/>
        </w:rPr>
        <w:t>,10</w:t>
      </w:r>
      <w:r w:rsidR="009C4418">
        <w:rPr>
          <w:rStyle w:val="apple-converted-space"/>
        </w:rPr>
        <w:t>]  and propensity score analyses [1</w:t>
      </w:r>
      <w:r w:rsidR="002651EE">
        <w:rPr>
          <w:rStyle w:val="apple-converted-space"/>
        </w:rPr>
        <w:t>1</w:t>
      </w:r>
      <w:r w:rsidR="009C4418">
        <w:rPr>
          <w:rStyle w:val="apple-converted-space"/>
        </w:rPr>
        <w:t>, 1</w:t>
      </w:r>
      <w:r w:rsidR="002651EE">
        <w:rPr>
          <w:rStyle w:val="apple-converted-space"/>
        </w:rPr>
        <w:t>2</w:t>
      </w:r>
      <w:r w:rsidR="009C4418">
        <w:rPr>
          <w:rStyle w:val="apple-converted-space"/>
        </w:rPr>
        <w:t>] have been used as for causal inference in place of randomisation.</w:t>
      </w:r>
    </w:p>
    <w:p w14:paraId="104B11ED" w14:textId="77777777" w:rsidR="00980F25" w:rsidRPr="005D0839" w:rsidRDefault="00980F25" w:rsidP="00831E3D"/>
    <w:p w14:paraId="471B750E" w14:textId="60EBD75F" w:rsidR="00A4320E" w:rsidRPr="005D0839" w:rsidRDefault="009C4418" w:rsidP="002651EE">
      <w:pPr>
        <w:rPr>
          <w:lang w:eastAsia="en-GB"/>
        </w:rPr>
      </w:pPr>
      <w:r w:rsidRPr="005D0839">
        <w:rPr>
          <w:lang w:eastAsia="en-GB"/>
        </w:rPr>
        <w:t xml:space="preserve">Here we propose the use of synthetic controls as a </w:t>
      </w:r>
      <w:proofErr w:type="gramStart"/>
      <w:r w:rsidRPr="005D0839">
        <w:rPr>
          <w:lang w:eastAsia="en-GB"/>
        </w:rPr>
        <w:t>causal inference tools</w:t>
      </w:r>
      <w:proofErr w:type="gramEnd"/>
      <w:r w:rsidRPr="005D0839">
        <w:rPr>
          <w:lang w:eastAsia="en-GB"/>
        </w:rPr>
        <w:t xml:space="preserve"> for novel prospective clinical trials.</w:t>
      </w:r>
      <w:r w:rsidR="005D0839">
        <w:rPr>
          <w:lang w:eastAsia="en-GB"/>
        </w:rPr>
        <w:t xml:space="preserve">  </w:t>
      </w:r>
      <w:r w:rsidR="00A4320E">
        <w:rPr>
          <w:lang w:eastAsia="en-GB"/>
        </w:rPr>
        <w:t xml:space="preserve">Synthetic Controls are a form of Causal Inference first proposed by Abadie </w:t>
      </w:r>
      <w:r w:rsidR="00965173">
        <w:rPr>
          <w:lang w:eastAsia="en-GB"/>
        </w:rPr>
        <w:t>[</w:t>
      </w:r>
      <w:r w:rsidR="005D0839">
        <w:rPr>
          <w:lang w:eastAsia="en-GB"/>
        </w:rPr>
        <w:t>1</w:t>
      </w:r>
      <w:r w:rsidR="002651EE">
        <w:rPr>
          <w:lang w:eastAsia="en-GB"/>
        </w:rPr>
        <w:t>3</w:t>
      </w:r>
      <w:r w:rsidR="005D0839">
        <w:rPr>
          <w:lang w:eastAsia="en-GB"/>
        </w:rPr>
        <w:t>,1</w:t>
      </w:r>
      <w:r w:rsidR="002651EE">
        <w:rPr>
          <w:lang w:eastAsia="en-GB"/>
        </w:rPr>
        <w:t>4</w:t>
      </w:r>
      <w:r w:rsidR="00965173">
        <w:rPr>
          <w:lang w:eastAsia="en-GB"/>
        </w:rPr>
        <w:t xml:space="preserve">] </w:t>
      </w:r>
      <w:r w:rsidR="00A4320E">
        <w:rPr>
          <w:lang w:eastAsia="en-GB"/>
        </w:rPr>
        <w:t xml:space="preserve">whereby </w:t>
      </w:r>
      <w:r w:rsidR="00965173">
        <w:rPr>
          <w:lang w:eastAsia="en-GB"/>
        </w:rPr>
        <w:t xml:space="preserve">the impact of some control can be generated from information.  Here the synthetic control population is weighted to mirror the characteristics of the experimental group to facilitate a causal statement. </w:t>
      </w:r>
      <w:r w:rsidR="00A4320E">
        <w:rPr>
          <w:lang w:eastAsia="en-GB"/>
        </w:rPr>
        <w:t>Details on how they should be used in healthcare research have been given by Thorland [</w:t>
      </w:r>
      <w:r w:rsidR="005D0839">
        <w:rPr>
          <w:lang w:eastAsia="en-GB"/>
        </w:rPr>
        <w:t>1</w:t>
      </w:r>
      <w:r w:rsidR="002651EE">
        <w:rPr>
          <w:lang w:eastAsia="en-GB"/>
        </w:rPr>
        <w:t>5</w:t>
      </w:r>
      <w:r w:rsidR="00A4320E">
        <w:rPr>
          <w:lang w:eastAsia="en-GB"/>
        </w:rPr>
        <w:t>]</w:t>
      </w:r>
      <w:r w:rsidR="005D0839">
        <w:rPr>
          <w:lang w:eastAsia="en-GB"/>
        </w:rPr>
        <w:t xml:space="preserve"> and</w:t>
      </w:r>
      <w:r w:rsidR="00965173">
        <w:rPr>
          <w:lang w:eastAsia="en-GB"/>
        </w:rPr>
        <w:t xml:space="preserve"> they have </w:t>
      </w:r>
      <w:r w:rsidR="005D0839">
        <w:rPr>
          <w:lang w:eastAsia="en-GB"/>
        </w:rPr>
        <w:t>begun to be used as casual inference tools in areas such as cancer research</w:t>
      </w:r>
      <w:r w:rsidR="00965173">
        <w:rPr>
          <w:lang w:eastAsia="en-GB"/>
        </w:rPr>
        <w:t xml:space="preserve"> [</w:t>
      </w:r>
      <w:r w:rsidR="005D0839">
        <w:rPr>
          <w:lang w:eastAsia="en-GB"/>
        </w:rPr>
        <w:t>1</w:t>
      </w:r>
      <w:r w:rsidR="002651EE">
        <w:rPr>
          <w:lang w:eastAsia="en-GB"/>
        </w:rPr>
        <w:t>6</w:t>
      </w:r>
      <w:r w:rsidR="00965173">
        <w:rPr>
          <w:lang w:eastAsia="en-GB"/>
        </w:rPr>
        <w:t>]</w:t>
      </w:r>
      <w:r w:rsidR="005D0839">
        <w:rPr>
          <w:lang w:eastAsia="en-GB"/>
        </w:rPr>
        <w:t>.</w:t>
      </w:r>
    </w:p>
    <w:p w14:paraId="0DEFCBF6" w14:textId="77777777" w:rsidR="00A4320E" w:rsidRDefault="00A4320E" w:rsidP="002651EE">
      <w:pPr>
        <w:rPr>
          <w:lang w:eastAsia="en-GB"/>
        </w:rPr>
      </w:pPr>
    </w:p>
    <w:p w14:paraId="2A24D4BC" w14:textId="02A8CFEB" w:rsidR="00403E29" w:rsidRDefault="005D0839" w:rsidP="002651EE">
      <w:pPr>
        <w:rPr>
          <w:lang w:eastAsia="en-GB"/>
        </w:rPr>
      </w:pPr>
      <w:r>
        <w:rPr>
          <w:lang w:eastAsia="en-GB"/>
        </w:rPr>
        <w:lastRenderedPageBreak/>
        <w:t>R</w:t>
      </w:r>
      <w:r w:rsidR="00A4320E">
        <w:rPr>
          <w:lang w:eastAsia="en-GB"/>
        </w:rPr>
        <w:t xml:space="preserve">ecently Jackson et al. </w:t>
      </w:r>
      <w:r w:rsidR="002651EE">
        <w:rPr>
          <w:lang w:eastAsia="en-GB"/>
        </w:rPr>
        <w:t xml:space="preserve">[17] </w:t>
      </w:r>
      <w:r>
        <w:rPr>
          <w:lang w:eastAsia="en-GB"/>
        </w:rPr>
        <w:t xml:space="preserve">introduced the use of parametric models as a form of </w:t>
      </w:r>
      <w:r>
        <w:rPr>
          <w:lang w:eastAsia="en-GB"/>
        </w:rPr>
        <w:t>personalised synthetic controls</w:t>
      </w:r>
      <w:r w:rsidR="002651EE">
        <w:rPr>
          <w:lang w:eastAsia="en-GB"/>
        </w:rPr>
        <w:t xml:space="preserve">.  Here predictions from some parametric model provide counter factual evidence against which observed outcomes can be compared. </w:t>
      </w:r>
      <w:r w:rsidR="00403E29">
        <w:rPr>
          <w:lang w:eastAsia="en-GB"/>
        </w:rPr>
        <w:t xml:space="preserve">The use and evaluation of counter factual models </w:t>
      </w:r>
      <w:proofErr w:type="gramStart"/>
      <w:r w:rsidR="00403E29">
        <w:rPr>
          <w:lang w:eastAsia="en-GB"/>
        </w:rPr>
        <w:t>has</w:t>
      </w:r>
      <w:proofErr w:type="gramEnd"/>
      <w:r w:rsidR="00403E29">
        <w:rPr>
          <w:lang w:eastAsia="en-GB"/>
        </w:rPr>
        <w:t xml:space="preserve"> been further explored by Boyer et al. [</w:t>
      </w:r>
      <w:r w:rsidR="002651EE">
        <w:rPr>
          <w:lang w:eastAsia="en-GB"/>
        </w:rPr>
        <w:t>18</w:t>
      </w:r>
      <w:r w:rsidR="00403E29">
        <w:rPr>
          <w:lang w:eastAsia="en-GB"/>
        </w:rPr>
        <w:t>].</w:t>
      </w:r>
    </w:p>
    <w:p w14:paraId="48CB823E" w14:textId="77777777" w:rsidR="002651EE" w:rsidRDefault="002651EE" w:rsidP="002651EE">
      <w:pPr>
        <w:rPr>
          <w:lang w:eastAsia="en-GB"/>
        </w:rPr>
      </w:pPr>
    </w:p>
    <w:p w14:paraId="4951FEE2" w14:textId="6C258301" w:rsidR="002651EE" w:rsidRDefault="002651EE" w:rsidP="002651EE">
      <w:r>
        <w:t xml:space="preserve">Synthetic Controls form a natural basis for incorporating external evidence into </w:t>
      </w:r>
      <w:r w:rsidR="001C5E94">
        <w:t xml:space="preserve">prospective clinical </w:t>
      </w:r>
      <w:proofErr w:type="gramStart"/>
      <w:r w:rsidR="001C5E94">
        <w:t>trials</w:t>
      </w:r>
      <w:proofErr w:type="gramEnd"/>
      <w:r w:rsidR="001C5E94">
        <w:t xml:space="preserve"> but their application remains challenging. </w:t>
      </w:r>
      <w:r>
        <w:t xml:space="preserve">Following the recommendation of </w:t>
      </w:r>
      <w:proofErr w:type="spellStart"/>
      <w:r>
        <w:t>Cucherat</w:t>
      </w:r>
      <w:proofErr w:type="spellEnd"/>
      <w:r>
        <w:t xml:space="preserve"> et al [ 19] </w:t>
      </w:r>
      <w:r w:rsidR="001C5E94">
        <w:t xml:space="preserve">here </w:t>
      </w:r>
      <w:r>
        <w:t>we explore t</w:t>
      </w:r>
      <w:r>
        <w:t xml:space="preserve">he use of Synthetic controls </w:t>
      </w:r>
      <w:r>
        <w:t>as a tool for prospective trial design</w:t>
      </w:r>
      <w:r w:rsidR="001C5E94">
        <w:t>, consider the</w:t>
      </w:r>
      <w:r>
        <w:t xml:space="preserve"> practical and methodological issues in the prospective design </w:t>
      </w:r>
      <w:r w:rsidR="001C5E94">
        <w:t>and provide software to aid the design of future clinical trials.</w:t>
      </w:r>
    </w:p>
    <w:p w14:paraId="37E995C1" w14:textId="77777777" w:rsidR="001C5E94" w:rsidRDefault="001C5E94" w:rsidP="002651EE"/>
    <w:p w14:paraId="312B2E81" w14:textId="37F69AE3" w:rsidR="001C5E94" w:rsidRDefault="001C5E94" w:rsidP="002651EE">
      <w:r>
        <w:t>The manuscript is order</w:t>
      </w:r>
      <w:r w:rsidR="0038113C">
        <w:t>e</w:t>
      </w:r>
      <w:r>
        <w:t xml:space="preserve">d as follows; Section 2 discusses the analysis of a synthetically controlled trial and defines the Causal Estimand,  Section 3 discussed the potential of fully synthetic (single) arm studies against partially synthetic (randomised) designs.  An example of a Synthetically Controlled Trial in HCC is provided in Section </w:t>
      </w:r>
      <w:proofErr w:type="gramStart"/>
      <w:r>
        <w:t>4</w:t>
      </w:r>
      <w:proofErr w:type="gramEnd"/>
      <w:r>
        <w:t xml:space="preserve"> and a simulation study </w:t>
      </w:r>
      <w:r w:rsidR="0038113C">
        <w:t>is provided in Section 5.  Section 6 outlines the considerations that should be made by investigators considering a synthetically controlled trial and some discussion is given in Section 7.</w:t>
      </w:r>
    </w:p>
    <w:p w14:paraId="224EEFCB" w14:textId="77777777" w:rsidR="002651EE" w:rsidRPr="00FE187C" w:rsidRDefault="002651EE" w:rsidP="002651EE">
      <w:pPr>
        <w:rPr>
          <w:lang w:eastAsia="en-GB"/>
        </w:rPr>
      </w:pPr>
    </w:p>
    <w:p w14:paraId="2296C826" w14:textId="77777777" w:rsidR="00FE187C" w:rsidRDefault="00FE187C" w:rsidP="00831E3D"/>
    <w:p w14:paraId="52C7A11D" w14:textId="77777777" w:rsidR="009C4418" w:rsidRDefault="009C4418" w:rsidP="00831E3D"/>
    <w:p w14:paraId="17333172" w14:textId="77777777" w:rsidR="00FE187C" w:rsidRDefault="00FE187C" w:rsidP="00831E3D"/>
    <w:p w14:paraId="7217BD1C" w14:textId="77777777" w:rsidR="00FE187C" w:rsidRDefault="00FE187C" w:rsidP="00831E3D"/>
    <w:p w14:paraId="7A7BD997" w14:textId="77777777" w:rsidR="00DF564B" w:rsidRDefault="00DF564B" w:rsidP="00831E3D"/>
    <w:p w14:paraId="42FC0E79" w14:textId="25A04CC0" w:rsidR="001A22C5" w:rsidRPr="001A22C5" w:rsidRDefault="001A22C5"/>
    <w:p w14:paraId="0DE41DD5" w14:textId="50BECE45" w:rsidR="00831E3D" w:rsidRPr="001A22C5" w:rsidRDefault="00831E3D" w:rsidP="0038113C">
      <w:pPr>
        <w:pStyle w:val="Heading1"/>
      </w:pPr>
      <w:r w:rsidRPr="001A22C5">
        <w:t>Methods</w:t>
      </w:r>
    </w:p>
    <w:p w14:paraId="0612D9B7" w14:textId="77777777" w:rsidR="00486A83" w:rsidRDefault="00486A83" w:rsidP="00831E3D"/>
    <w:p w14:paraId="3836A231" w14:textId="6BA39AB1" w:rsidR="001C5E94" w:rsidRDefault="001C5E94" w:rsidP="00831E3D">
      <w:r>
        <w:t>Causal Inference – estimation of average treatment effect</w:t>
      </w:r>
    </w:p>
    <w:p w14:paraId="04AEAAD8" w14:textId="77777777" w:rsidR="001C5E94" w:rsidRDefault="001C5E94" w:rsidP="00831E3D"/>
    <w:p w14:paraId="21378289" w14:textId="3EB8490C" w:rsidR="001C5E94" w:rsidRDefault="001C5E94" w:rsidP="00831E3D">
      <w:r>
        <w:t>Definition of efficacy using synthetic controls and personalised synthetic Controls</w:t>
      </w:r>
    </w:p>
    <w:p w14:paraId="30CAA872" w14:textId="77777777" w:rsidR="0038113C" w:rsidRDefault="0038113C" w:rsidP="0038113C"/>
    <w:p w14:paraId="69ACE4F8" w14:textId="77777777" w:rsidR="0038113C" w:rsidRDefault="0038113C" w:rsidP="0038113C">
      <w:r>
        <w:t>Average treatment effect against personalised ‘adjustment’</w:t>
      </w:r>
    </w:p>
    <w:p w14:paraId="28D8E9D8" w14:textId="77777777" w:rsidR="0038113C" w:rsidRDefault="0038113C" w:rsidP="0038113C"/>
    <w:p w14:paraId="761F7B50" w14:textId="77777777" w:rsidR="0038113C" w:rsidRDefault="0038113C" w:rsidP="00831E3D"/>
    <w:p w14:paraId="398F6665" w14:textId="77777777" w:rsidR="0038113C" w:rsidRDefault="0038113C" w:rsidP="00831E3D"/>
    <w:p w14:paraId="5DB2AB71" w14:textId="09C6C572" w:rsidR="001C5E94" w:rsidRDefault="001C5E94" w:rsidP="0038113C">
      <w:pPr>
        <w:pStyle w:val="Heading1"/>
      </w:pPr>
      <w:r>
        <w:t>Synthetic &amp; Partially Synthetic Clinical Trials</w:t>
      </w:r>
    </w:p>
    <w:p w14:paraId="10A2DF18" w14:textId="77777777" w:rsidR="001C5E94" w:rsidRDefault="001C5E94" w:rsidP="00831E3D"/>
    <w:p w14:paraId="71E408B8" w14:textId="6BD34209" w:rsidR="001C5E94" w:rsidRPr="001A22C5" w:rsidRDefault="001C5E94" w:rsidP="0038113C">
      <w:pPr>
        <w:pStyle w:val="Heading1"/>
        <w:rPr>
          <w:color w:val="auto"/>
        </w:rPr>
      </w:pPr>
      <w:r>
        <w:t xml:space="preserve">Example – </w:t>
      </w:r>
      <w:proofErr w:type="spellStart"/>
      <w:r>
        <w:t>Atezo</w:t>
      </w:r>
      <w:proofErr w:type="spellEnd"/>
      <w:r>
        <w:t xml:space="preserve"> Bev in HCC</w:t>
      </w:r>
    </w:p>
    <w:p w14:paraId="027A3707" w14:textId="77777777" w:rsidR="00486A83" w:rsidRDefault="00486A83" w:rsidP="00831E3D"/>
    <w:p w14:paraId="6E5AE3C1" w14:textId="48811DED" w:rsidR="001C5E94" w:rsidRPr="001A22C5" w:rsidRDefault="001C5E94" w:rsidP="00831E3D">
      <w:r>
        <w:t>Simulation Study</w:t>
      </w:r>
    </w:p>
    <w:p w14:paraId="2DDD6E14" w14:textId="77777777" w:rsidR="00831E3D" w:rsidRDefault="00831E3D" w:rsidP="00831E3D"/>
    <w:p w14:paraId="2F8EA5D3" w14:textId="3038C5EF" w:rsidR="001C5E94" w:rsidRDefault="001C5E94" w:rsidP="00831E3D">
      <w:r>
        <w:lastRenderedPageBreak/>
        <w:t>Allocation ratios in randomised studies using synthetic Controls</w:t>
      </w:r>
    </w:p>
    <w:p w14:paraId="52C01CC9" w14:textId="77777777" w:rsidR="001C5E94" w:rsidRPr="001A22C5" w:rsidRDefault="001C5E94" w:rsidP="00831E3D"/>
    <w:p w14:paraId="50FA35F5" w14:textId="5C177727" w:rsidR="002E11DB" w:rsidRPr="001A22C5" w:rsidRDefault="0038113C" w:rsidP="0038113C">
      <w:pPr>
        <w:pStyle w:val="Heading1"/>
      </w:pPr>
      <w:r>
        <w:t>Simulation Study</w:t>
      </w:r>
    </w:p>
    <w:p w14:paraId="7C39B368" w14:textId="77777777" w:rsidR="002E11DB" w:rsidRPr="001A22C5" w:rsidRDefault="002E11DB" w:rsidP="00831E3D"/>
    <w:p w14:paraId="66DBED01" w14:textId="78824620" w:rsidR="002E11DB" w:rsidRPr="001A22C5" w:rsidRDefault="002E11DB" w:rsidP="00831E3D">
      <w:r w:rsidRPr="001A22C5">
        <w:t>Single Arm</w:t>
      </w:r>
    </w:p>
    <w:p w14:paraId="60DF9009" w14:textId="755E9841" w:rsidR="002E11DB" w:rsidRPr="001A22C5" w:rsidRDefault="002E11DB" w:rsidP="002E11DB">
      <w:pPr>
        <w:pStyle w:val="ListParagraph"/>
        <w:numPr>
          <w:ilvl w:val="0"/>
          <w:numId w:val="1"/>
        </w:numPr>
      </w:pPr>
      <w:r w:rsidRPr="001A22C5">
        <w:t>Standard</w:t>
      </w:r>
    </w:p>
    <w:p w14:paraId="3653979C" w14:textId="304A5026" w:rsidR="002E11DB" w:rsidRPr="001A22C5" w:rsidRDefault="002E11DB" w:rsidP="002E11DB">
      <w:pPr>
        <w:pStyle w:val="ListParagraph"/>
        <w:numPr>
          <w:ilvl w:val="0"/>
          <w:numId w:val="1"/>
        </w:numPr>
      </w:pPr>
      <w:r w:rsidRPr="001A22C5">
        <w:t>Inflated Variance</w:t>
      </w:r>
    </w:p>
    <w:p w14:paraId="67E5898F" w14:textId="77777777" w:rsidR="002E11DB" w:rsidRPr="001A22C5" w:rsidRDefault="002E11DB" w:rsidP="00831E3D"/>
    <w:p w14:paraId="4F46DEE1" w14:textId="77777777" w:rsidR="002E11DB" w:rsidRPr="001A22C5" w:rsidRDefault="002E11DB" w:rsidP="00831E3D"/>
    <w:p w14:paraId="18712B2E" w14:textId="4C110108" w:rsidR="002E11DB" w:rsidRPr="001A22C5" w:rsidRDefault="002E11DB" w:rsidP="00831E3D">
      <w:r w:rsidRPr="001A22C5">
        <w:t>Randomised Design</w:t>
      </w:r>
    </w:p>
    <w:p w14:paraId="2E27E96B" w14:textId="77777777" w:rsidR="002E11DB" w:rsidRPr="001A22C5" w:rsidRDefault="002E11DB" w:rsidP="00831E3D"/>
    <w:p w14:paraId="0A78FDB1" w14:textId="5C0CBD4C" w:rsidR="002E11DB" w:rsidRPr="001A22C5" w:rsidRDefault="002E11DB" w:rsidP="00831E3D">
      <w:r w:rsidRPr="001A22C5">
        <w:t>Equal Allocation</w:t>
      </w:r>
    </w:p>
    <w:p w14:paraId="474F9864" w14:textId="77777777" w:rsidR="002E11DB" w:rsidRPr="001A22C5" w:rsidRDefault="002E11DB" w:rsidP="002E11DB">
      <w:pPr>
        <w:pStyle w:val="ListParagraph"/>
        <w:numPr>
          <w:ilvl w:val="0"/>
          <w:numId w:val="1"/>
        </w:numPr>
      </w:pPr>
      <w:r w:rsidRPr="001A22C5">
        <w:t>Standard</w:t>
      </w:r>
    </w:p>
    <w:p w14:paraId="539615E2" w14:textId="77777777" w:rsidR="002E11DB" w:rsidRPr="001A22C5" w:rsidRDefault="002E11DB" w:rsidP="002E11DB">
      <w:pPr>
        <w:pStyle w:val="ListParagraph"/>
        <w:numPr>
          <w:ilvl w:val="0"/>
          <w:numId w:val="1"/>
        </w:numPr>
      </w:pPr>
      <w:r w:rsidRPr="001A22C5">
        <w:t>Inflated Variance</w:t>
      </w:r>
    </w:p>
    <w:p w14:paraId="436231D3" w14:textId="77777777" w:rsidR="002E11DB" w:rsidRPr="001A22C5" w:rsidRDefault="002E11DB" w:rsidP="00831E3D"/>
    <w:p w14:paraId="44F3135E" w14:textId="513F1554" w:rsidR="002E11DB" w:rsidRPr="001A22C5" w:rsidRDefault="002E11DB" w:rsidP="00831E3D">
      <w:r w:rsidRPr="001A22C5">
        <w:t>Unequal Allocation</w:t>
      </w:r>
    </w:p>
    <w:p w14:paraId="38525F53" w14:textId="77777777" w:rsidR="002E11DB" w:rsidRPr="001A22C5" w:rsidRDefault="002E11DB" w:rsidP="002E11DB">
      <w:pPr>
        <w:pStyle w:val="ListParagraph"/>
        <w:numPr>
          <w:ilvl w:val="0"/>
          <w:numId w:val="1"/>
        </w:numPr>
      </w:pPr>
      <w:r w:rsidRPr="001A22C5">
        <w:t>Standard</w:t>
      </w:r>
    </w:p>
    <w:p w14:paraId="4B1FD3CF" w14:textId="77777777" w:rsidR="002E11DB" w:rsidRPr="001A22C5" w:rsidRDefault="002E11DB" w:rsidP="002E11DB">
      <w:pPr>
        <w:pStyle w:val="ListParagraph"/>
        <w:numPr>
          <w:ilvl w:val="0"/>
          <w:numId w:val="1"/>
        </w:numPr>
      </w:pPr>
      <w:r w:rsidRPr="001A22C5">
        <w:t>Inflated Variance</w:t>
      </w:r>
    </w:p>
    <w:p w14:paraId="1B88085F" w14:textId="77777777" w:rsidR="002E11DB" w:rsidRPr="001A22C5" w:rsidRDefault="002E11DB" w:rsidP="00831E3D"/>
    <w:p w14:paraId="019F3927" w14:textId="77777777" w:rsidR="002E11DB" w:rsidRPr="001A22C5" w:rsidRDefault="002E11DB" w:rsidP="00831E3D"/>
    <w:p w14:paraId="64FB2C32" w14:textId="77777777" w:rsidR="002E11DB" w:rsidRPr="001A22C5" w:rsidRDefault="002E11DB" w:rsidP="00831E3D"/>
    <w:p w14:paraId="1FC99FFB" w14:textId="77777777" w:rsidR="002E11DB" w:rsidRPr="001A22C5" w:rsidRDefault="002E11DB" w:rsidP="00831E3D"/>
    <w:p w14:paraId="5465A6AB" w14:textId="532A7B50" w:rsidR="00831E3D" w:rsidRDefault="00831E3D" w:rsidP="001A22C5">
      <w:pPr>
        <w:pStyle w:val="Heading1"/>
      </w:pPr>
      <w:r w:rsidRPr="001A22C5">
        <w:t>Discussion</w:t>
      </w:r>
    </w:p>
    <w:p w14:paraId="51DE1CB6" w14:textId="77777777" w:rsidR="00833B39" w:rsidRDefault="00833B39" w:rsidP="00833B39"/>
    <w:p w14:paraId="21716432" w14:textId="77777777" w:rsidR="00833B39" w:rsidRDefault="00833B39" w:rsidP="00833B39">
      <w:r>
        <w:t xml:space="preserve">Talk about the setting – controls in ‘practice’ not </w:t>
      </w:r>
      <w:proofErr w:type="spellStart"/>
      <w:r>
        <w:t>neccesserily</w:t>
      </w:r>
      <w:proofErr w:type="spellEnd"/>
      <w:r>
        <w:t xml:space="preserve"> the same as controls in a trial: Transportability of trial results – SUTVA assumption</w:t>
      </w:r>
    </w:p>
    <w:p w14:paraId="148B5AE0" w14:textId="77777777" w:rsidR="00833B39" w:rsidRPr="00833B39" w:rsidRDefault="00833B39" w:rsidP="00833B39">
      <w:pPr>
        <w:rPr>
          <w:b/>
          <w:bCs/>
        </w:rPr>
      </w:pPr>
    </w:p>
    <w:p w14:paraId="01255E5F" w14:textId="77777777" w:rsidR="00831E3D" w:rsidRPr="001A22C5" w:rsidRDefault="00831E3D" w:rsidP="00831E3D"/>
    <w:p w14:paraId="3B7860AD" w14:textId="77777777" w:rsidR="00A4320E" w:rsidRDefault="00A4320E" w:rsidP="00A4320E"/>
    <w:p w14:paraId="14219E26" w14:textId="77777777" w:rsidR="00A4320E" w:rsidRDefault="00A4320E" w:rsidP="00A4320E">
      <w:r>
        <w:t xml:space="preserve">Causal Inference, be it from trials or observational cohorts, work </w:t>
      </w:r>
      <w:proofErr w:type="gramStart"/>
      <w:r>
        <w:t>on the basis of</w:t>
      </w:r>
      <w:proofErr w:type="gramEnd"/>
      <w:r>
        <w:t xml:space="preserve"> trying to determine how patients would have performed if they had received an alternative therapy.  One of the challenges of designing an externally controlled trial is that there is uncertainty over the population that will be recruited.  Any strategy therefore must be flexible enough to account for this.</w:t>
      </w:r>
    </w:p>
    <w:p w14:paraId="1080501D" w14:textId="77777777" w:rsidR="00831E3D" w:rsidRDefault="00831E3D" w:rsidP="00831E3D"/>
    <w:p w14:paraId="09664F80" w14:textId="77777777" w:rsidR="002651EE" w:rsidRDefault="002651EE" w:rsidP="00831E3D"/>
    <w:p w14:paraId="0C162985" w14:textId="49439AA6" w:rsidR="002651EE" w:rsidRDefault="002651EE">
      <w:r>
        <w:br w:type="page"/>
      </w:r>
    </w:p>
    <w:p w14:paraId="65B5DE49" w14:textId="77777777" w:rsidR="002651EE" w:rsidRDefault="002651EE" w:rsidP="002651EE">
      <w:pPr>
        <w:rPr>
          <w:rFonts w:asciiTheme="majorHAnsi" w:eastAsiaTheme="majorEastAsia" w:hAnsiTheme="majorHAnsi" w:cstheme="majorBidi"/>
          <w:color w:val="0F4761" w:themeColor="accent1" w:themeShade="BF"/>
          <w:sz w:val="40"/>
          <w:szCs w:val="40"/>
        </w:rPr>
      </w:pPr>
    </w:p>
    <w:p w14:paraId="0D1D7B4D" w14:textId="77777777" w:rsidR="002651EE" w:rsidRDefault="002651EE" w:rsidP="0038113C">
      <w:pPr>
        <w:pStyle w:val="Heading1"/>
      </w:pPr>
      <w:r>
        <w:t>References</w:t>
      </w:r>
    </w:p>
    <w:p w14:paraId="3F0FF836" w14:textId="77777777" w:rsidR="002651EE" w:rsidRPr="009C4418" w:rsidRDefault="002651EE" w:rsidP="002651EE">
      <w:pPr>
        <w:rPr>
          <w:rFonts w:ascii="Arial" w:hAnsi="Arial" w:cs="Arial"/>
          <w:color w:val="222222"/>
          <w:sz w:val="20"/>
          <w:szCs w:val="20"/>
          <w:shd w:val="clear" w:color="auto" w:fill="FFFFFF"/>
        </w:rPr>
      </w:pPr>
    </w:p>
    <w:p w14:paraId="62B21525" w14:textId="77777777" w:rsidR="002651EE" w:rsidRPr="009C4418"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Pocock SJ. The combination of randomized and historical controls in clinical trials. Journal of chronic diseases. 1976 Mar 1;29(3):175-88.</w:t>
      </w:r>
    </w:p>
    <w:p w14:paraId="64E20B00" w14:textId="77777777" w:rsidR="002651EE" w:rsidRPr="009C4418" w:rsidRDefault="002651EE" w:rsidP="002651EE">
      <w:pPr>
        <w:pStyle w:val="ListParagraph"/>
        <w:rPr>
          <w:rFonts w:ascii="Arial" w:hAnsi="Arial" w:cs="Arial"/>
          <w:color w:val="222222"/>
          <w:sz w:val="20"/>
          <w:szCs w:val="20"/>
          <w:shd w:val="clear" w:color="auto" w:fill="FFFFFF"/>
        </w:rPr>
      </w:pPr>
    </w:p>
    <w:p w14:paraId="4ECCE1AE" w14:textId="77777777" w:rsidR="002651EE" w:rsidRPr="009C4418"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Neuenschwander B, </w:t>
      </w:r>
      <w:proofErr w:type="spellStart"/>
      <w:r w:rsidRPr="00403E29">
        <w:rPr>
          <w:rFonts w:ascii="Arial" w:hAnsi="Arial" w:cs="Arial"/>
          <w:color w:val="222222"/>
          <w:sz w:val="20"/>
          <w:szCs w:val="20"/>
          <w:shd w:val="clear" w:color="auto" w:fill="FFFFFF"/>
        </w:rPr>
        <w:t>Capkun</w:t>
      </w:r>
      <w:proofErr w:type="spellEnd"/>
      <w:r w:rsidRPr="00403E29">
        <w:rPr>
          <w:rFonts w:ascii="Arial" w:hAnsi="Arial" w:cs="Arial"/>
          <w:color w:val="222222"/>
          <w:sz w:val="20"/>
          <w:szCs w:val="20"/>
          <w:shd w:val="clear" w:color="auto" w:fill="FFFFFF"/>
        </w:rPr>
        <w:t>-Niggli G, Branson M, Spiegelhalter DJ. Summarizing historical information on controls in clinical trials. Clinical Trials. 2010 Feb;7(1):5-18.</w:t>
      </w:r>
    </w:p>
    <w:p w14:paraId="24FAB285" w14:textId="77777777" w:rsidR="002651EE" w:rsidRPr="009C4418" w:rsidRDefault="002651EE" w:rsidP="002651EE">
      <w:pPr>
        <w:pStyle w:val="ListParagraph"/>
        <w:rPr>
          <w:rFonts w:ascii="Arial" w:hAnsi="Arial" w:cs="Arial"/>
          <w:color w:val="222222"/>
          <w:sz w:val="20"/>
          <w:szCs w:val="20"/>
          <w:shd w:val="clear" w:color="auto" w:fill="FFFFFF"/>
        </w:rPr>
      </w:pPr>
    </w:p>
    <w:p w14:paraId="409F57C8"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Jahanshahi M, Gregg K, Davis G, </w:t>
      </w:r>
      <w:proofErr w:type="spellStart"/>
      <w:r w:rsidRPr="00403E29">
        <w:rPr>
          <w:rFonts w:ascii="Arial" w:hAnsi="Arial" w:cs="Arial"/>
          <w:color w:val="222222"/>
          <w:sz w:val="20"/>
          <w:szCs w:val="20"/>
          <w:shd w:val="clear" w:color="auto" w:fill="FFFFFF"/>
        </w:rPr>
        <w:t>Ndu</w:t>
      </w:r>
      <w:proofErr w:type="spellEnd"/>
      <w:r w:rsidRPr="00403E29">
        <w:rPr>
          <w:rFonts w:ascii="Arial" w:hAnsi="Arial" w:cs="Arial"/>
          <w:color w:val="222222"/>
          <w:sz w:val="20"/>
          <w:szCs w:val="20"/>
          <w:shd w:val="clear" w:color="auto" w:fill="FFFFFF"/>
        </w:rPr>
        <w:t xml:space="preserve"> A, Miller V, </w:t>
      </w:r>
      <w:proofErr w:type="spellStart"/>
      <w:r w:rsidRPr="00403E29">
        <w:rPr>
          <w:rFonts w:ascii="Arial" w:hAnsi="Arial" w:cs="Arial"/>
          <w:color w:val="222222"/>
          <w:sz w:val="20"/>
          <w:szCs w:val="20"/>
          <w:shd w:val="clear" w:color="auto" w:fill="FFFFFF"/>
        </w:rPr>
        <w:t>Vockley</w:t>
      </w:r>
      <w:proofErr w:type="spellEnd"/>
      <w:r w:rsidRPr="00403E29">
        <w:rPr>
          <w:rFonts w:ascii="Arial" w:hAnsi="Arial" w:cs="Arial"/>
          <w:color w:val="222222"/>
          <w:sz w:val="20"/>
          <w:szCs w:val="20"/>
          <w:shd w:val="clear" w:color="auto" w:fill="FFFFFF"/>
        </w:rPr>
        <w:t xml:space="preserve"> J, Ollivier C, </w:t>
      </w:r>
      <w:proofErr w:type="spellStart"/>
      <w:r w:rsidRPr="00403E29">
        <w:rPr>
          <w:rFonts w:ascii="Arial" w:hAnsi="Arial" w:cs="Arial"/>
          <w:color w:val="222222"/>
          <w:sz w:val="20"/>
          <w:szCs w:val="20"/>
          <w:shd w:val="clear" w:color="auto" w:fill="FFFFFF"/>
        </w:rPr>
        <w:t>Franolic</w:t>
      </w:r>
      <w:proofErr w:type="spellEnd"/>
      <w:r w:rsidRPr="00403E29">
        <w:rPr>
          <w:rFonts w:ascii="Arial" w:hAnsi="Arial" w:cs="Arial"/>
          <w:color w:val="222222"/>
          <w:sz w:val="20"/>
          <w:szCs w:val="20"/>
          <w:shd w:val="clear" w:color="auto" w:fill="FFFFFF"/>
        </w:rPr>
        <w:t xml:space="preserve"> T, Sakai S. The use of external controls in FDA regulatory decision making. Therapeutic Innovation &amp; Regulatory Science. 2021 Sep;55(5):1019-35.</w:t>
      </w:r>
    </w:p>
    <w:p w14:paraId="3BF767BA" w14:textId="77777777" w:rsidR="002651EE" w:rsidRDefault="002651EE" w:rsidP="002651EE">
      <w:pPr>
        <w:rPr>
          <w:rFonts w:ascii="Arial" w:hAnsi="Arial" w:cs="Arial"/>
          <w:color w:val="222222"/>
          <w:sz w:val="20"/>
          <w:szCs w:val="20"/>
          <w:shd w:val="clear" w:color="auto" w:fill="FFFFFF"/>
        </w:rPr>
      </w:pPr>
    </w:p>
    <w:p w14:paraId="1D531CC5"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Lambert J, </w:t>
      </w:r>
      <w:proofErr w:type="spellStart"/>
      <w:r w:rsidRPr="00403E29">
        <w:rPr>
          <w:rFonts w:ascii="Arial" w:hAnsi="Arial" w:cs="Arial"/>
          <w:color w:val="222222"/>
          <w:sz w:val="20"/>
          <w:szCs w:val="20"/>
          <w:shd w:val="clear" w:color="auto" w:fill="FFFFFF"/>
        </w:rPr>
        <w:t>Lengliné</w:t>
      </w:r>
      <w:proofErr w:type="spellEnd"/>
      <w:r w:rsidRPr="00403E29">
        <w:rPr>
          <w:rFonts w:ascii="Arial" w:hAnsi="Arial" w:cs="Arial"/>
          <w:color w:val="222222"/>
          <w:sz w:val="20"/>
          <w:szCs w:val="20"/>
          <w:shd w:val="clear" w:color="auto" w:fill="FFFFFF"/>
        </w:rPr>
        <w:t xml:space="preserve"> E, Porcher R, </w:t>
      </w:r>
      <w:proofErr w:type="spellStart"/>
      <w:r w:rsidRPr="00403E29">
        <w:rPr>
          <w:rFonts w:ascii="Arial" w:hAnsi="Arial" w:cs="Arial"/>
          <w:color w:val="222222"/>
          <w:sz w:val="20"/>
          <w:szCs w:val="20"/>
          <w:shd w:val="clear" w:color="auto" w:fill="FFFFFF"/>
        </w:rPr>
        <w:t>Thiébaut</w:t>
      </w:r>
      <w:proofErr w:type="spellEnd"/>
      <w:r w:rsidRPr="00403E29">
        <w:rPr>
          <w:rFonts w:ascii="Arial" w:hAnsi="Arial" w:cs="Arial"/>
          <w:color w:val="222222"/>
          <w:sz w:val="20"/>
          <w:szCs w:val="20"/>
          <w:shd w:val="clear" w:color="auto" w:fill="FFFFFF"/>
        </w:rPr>
        <w:t xml:space="preserve"> R, Zohar S, </w:t>
      </w:r>
      <w:proofErr w:type="spellStart"/>
      <w:r w:rsidRPr="00403E29">
        <w:rPr>
          <w:rFonts w:ascii="Arial" w:hAnsi="Arial" w:cs="Arial"/>
          <w:color w:val="222222"/>
          <w:sz w:val="20"/>
          <w:szCs w:val="20"/>
          <w:shd w:val="clear" w:color="auto" w:fill="FFFFFF"/>
        </w:rPr>
        <w:t>Chevret</w:t>
      </w:r>
      <w:proofErr w:type="spellEnd"/>
      <w:r w:rsidRPr="00403E29">
        <w:rPr>
          <w:rFonts w:ascii="Arial" w:hAnsi="Arial" w:cs="Arial"/>
          <w:color w:val="222222"/>
          <w:sz w:val="20"/>
          <w:szCs w:val="20"/>
          <w:shd w:val="clear" w:color="auto" w:fill="FFFFFF"/>
        </w:rPr>
        <w:t xml:space="preserve"> S. Enriching single-arm clinical trials with external controls: possibilities and pitfalls. Blood advances. 2023 Oct 10;7(19):5680-90.</w:t>
      </w:r>
    </w:p>
    <w:p w14:paraId="18836F03" w14:textId="77777777" w:rsidR="002651EE" w:rsidRDefault="002651EE" w:rsidP="002651EE">
      <w:pPr>
        <w:rPr>
          <w:rFonts w:ascii="Arial" w:hAnsi="Arial" w:cs="Arial"/>
          <w:color w:val="222222"/>
          <w:sz w:val="20"/>
          <w:szCs w:val="20"/>
          <w:shd w:val="clear" w:color="auto" w:fill="FFFFFF"/>
        </w:rPr>
      </w:pPr>
    </w:p>
    <w:p w14:paraId="05467779"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[Burger HU, Gerlinger C, Harbron C, Koch A, Posch M, Rochon J, Schiel A. The use of external controls: To what extent can it currently be recommended?. Pharmaceutical Statistics. 2021 Nov;20(6):1002-16.</w:t>
      </w:r>
    </w:p>
    <w:p w14:paraId="7B6204F7" w14:textId="77777777" w:rsidR="002651EE" w:rsidRDefault="002651EE" w:rsidP="002651EE">
      <w:pPr>
        <w:rPr>
          <w:rFonts w:ascii="Arial" w:hAnsi="Arial" w:cs="Arial"/>
          <w:color w:val="222222"/>
          <w:sz w:val="20"/>
          <w:szCs w:val="20"/>
          <w:shd w:val="clear" w:color="auto" w:fill="FFFFFF"/>
        </w:rPr>
      </w:pPr>
    </w:p>
    <w:p w14:paraId="7A6577C8"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Schmidli H, Häring DA, Thomas M, Cassidy A, Weber S, Bretz F. Beyond randomized clinical trials: use of external controls. Clinical Pharmacology &amp; Therapeutics. 2020 Apr;107(4):806-16.</w:t>
      </w:r>
    </w:p>
    <w:p w14:paraId="21B11DD5" w14:textId="77777777" w:rsidR="002651EE" w:rsidRDefault="002651EE" w:rsidP="002651EE">
      <w:pPr>
        <w:rPr>
          <w:rFonts w:ascii="Arial" w:hAnsi="Arial" w:cs="Arial"/>
          <w:color w:val="222222"/>
          <w:sz w:val="20"/>
          <w:szCs w:val="20"/>
          <w:shd w:val="clear" w:color="auto" w:fill="FFFFFF"/>
        </w:rPr>
      </w:pPr>
    </w:p>
    <w:p w14:paraId="22D236B1"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Curtis LH, Sola</w:t>
      </w:r>
      <w:r w:rsidRPr="00403E29">
        <w:rPr>
          <w:rFonts w:ascii="Cambria Math" w:hAnsi="Cambria Math" w:cs="Cambria Math"/>
          <w:color w:val="222222"/>
          <w:sz w:val="20"/>
          <w:szCs w:val="20"/>
          <w:shd w:val="clear" w:color="auto" w:fill="FFFFFF"/>
        </w:rPr>
        <w:t>‐</w:t>
      </w:r>
      <w:r w:rsidRPr="00403E29">
        <w:rPr>
          <w:rFonts w:ascii="Arial" w:hAnsi="Arial" w:cs="Arial"/>
          <w:color w:val="222222"/>
          <w:sz w:val="20"/>
          <w:szCs w:val="20"/>
          <w:shd w:val="clear" w:color="auto" w:fill="FFFFFF"/>
        </w:rPr>
        <w:t>Morales O, Heidt J, Saunders</w:t>
      </w:r>
      <w:r w:rsidRPr="00403E29">
        <w:rPr>
          <w:rFonts w:ascii="Cambria Math" w:hAnsi="Cambria Math" w:cs="Cambria Math"/>
          <w:color w:val="222222"/>
          <w:sz w:val="20"/>
          <w:szCs w:val="20"/>
          <w:shd w:val="clear" w:color="auto" w:fill="FFFFFF"/>
        </w:rPr>
        <w:t>‐</w:t>
      </w:r>
      <w:r w:rsidRPr="00403E29">
        <w:rPr>
          <w:rFonts w:ascii="Arial" w:hAnsi="Arial" w:cs="Arial"/>
          <w:color w:val="222222"/>
          <w:sz w:val="20"/>
          <w:szCs w:val="20"/>
          <w:shd w:val="clear" w:color="auto" w:fill="FFFFFF"/>
        </w:rPr>
        <w:t xml:space="preserve">Hastings P, Walsh L, Casso D, Oliveria S, Mercado T, </w:t>
      </w:r>
      <w:proofErr w:type="spellStart"/>
      <w:r w:rsidRPr="00403E29">
        <w:rPr>
          <w:rFonts w:ascii="Arial" w:hAnsi="Arial" w:cs="Arial"/>
          <w:color w:val="222222"/>
          <w:sz w:val="20"/>
          <w:szCs w:val="20"/>
          <w:shd w:val="clear" w:color="auto" w:fill="FFFFFF"/>
        </w:rPr>
        <w:t>Zusterzeel</w:t>
      </w:r>
      <w:proofErr w:type="spellEnd"/>
      <w:r w:rsidRPr="00403E29">
        <w:rPr>
          <w:rFonts w:ascii="Arial" w:hAnsi="Arial" w:cs="Arial"/>
          <w:color w:val="222222"/>
          <w:sz w:val="20"/>
          <w:szCs w:val="20"/>
          <w:shd w:val="clear" w:color="auto" w:fill="FFFFFF"/>
        </w:rPr>
        <w:t xml:space="preserve"> R, Sobel RE, Jalbert JJ. Regulatory and HTA considerations for development of real</w:t>
      </w:r>
      <w:r w:rsidRPr="00403E29">
        <w:rPr>
          <w:rFonts w:ascii="Cambria Math" w:hAnsi="Cambria Math" w:cs="Cambria Math"/>
          <w:color w:val="222222"/>
          <w:sz w:val="20"/>
          <w:szCs w:val="20"/>
          <w:shd w:val="clear" w:color="auto" w:fill="FFFFFF"/>
        </w:rPr>
        <w:t>‐</w:t>
      </w:r>
      <w:r w:rsidRPr="00403E29">
        <w:rPr>
          <w:rFonts w:ascii="Arial" w:hAnsi="Arial" w:cs="Arial"/>
          <w:color w:val="222222"/>
          <w:sz w:val="20"/>
          <w:szCs w:val="20"/>
          <w:shd w:val="clear" w:color="auto" w:fill="FFFFFF"/>
        </w:rPr>
        <w:t>world data derived external controls. Clinical Pharmacology &amp; Therapeutics. 2023 Aug;114(2):303-15.</w:t>
      </w:r>
    </w:p>
    <w:p w14:paraId="7588F49F" w14:textId="77777777" w:rsidR="002651EE" w:rsidRPr="00980F25" w:rsidRDefault="002651EE" w:rsidP="002651EE">
      <w:pPr>
        <w:rPr>
          <w:rFonts w:ascii="Arial" w:hAnsi="Arial" w:cs="Arial"/>
          <w:color w:val="222222"/>
          <w:sz w:val="20"/>
          <w:szCs w:val="20"/>
          <w:shd w:val="clear" w:color="auto" w:fill="FFFFFF"/>
        </w:rPr>
      </w:pPr>
    </w:p>
    <w:p w14:paraId="221D6D2D"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Pr>
          <w:rFonts w:ascii="Arial" w:hAnsi="Arial" w:cs="Arial"/>
          <w:color w:val="222222"/>
          <w:sz w:val="20"/>
          <w:szCs w:val="20"/>
          <w:shd w:val="clear" w:color="auto" w:fill="FFFFFF"/>
        </w:rPr>
        <w:t>Nuño MM, Pugh SL, Ji L, Piao J, Dignam JJ, Steingrimsson JA. On the use of external controls in clinical trials. JNCI Monographs. 2025 Mar;2025(68):30-4.</w:t>
      </w:r>
    </w:p>
    <w:p w14:paraId="5DF22319" w14:textId="77777777" w:rsidR="002651EE" w:rsidRPr="009C4418" w:rsidRDefault="002651EE" w:rsidP="002651EE">
      <w:pPr>
        <w:ind w:left="360"/>
        <w:rPr>
          <w:rFonts w:ascii="Arial" w:hAnsi="Arial" w:cs="Arial"/>
          <w:color w:val="222222"/>
          <w:sz w:val="20"/>
          <w:szCs w:val="20"/>
          <w:shd w:val="clear" w:color="auto" w:fill="FFFFFF"/>
        </w:rPr>
      </w:pPr>
    </w:p>
    <w:p w14:paraId="2D39686D"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Tudor BH, </w:t>
      </w:r>
      <w:proofErr w:type="spellStart"/>
      <w:r w:rsidRPr="00403E29">
        <w:rPr>
          <w:rFonts w:ascii="Arial" w:hAnsi="Arial" w:cs="Arial"/>
          <w:color w:val="222222"/>
          <w:sz w:val="20"/>
          <w:szCs w:val="20"/>
          <w:shd w:val="clear" w:color="auto" w:fill="FFFFFF"/>
        </w:rPr>
        <w:t>Shargo</w:t>
      </w:r>
      <w:proofErr w:type="spellEnd"/>
      <w:r w:rsidRPr="00403E29">
        <w:rPr>
          <w:rFonts w:ascii="Arial" w:hAnsi="Arial" w:cs="Arial"/>
          <w:color w:val="222222"/>
          <w:sz w:val="20"/>
          <w:szCs w:val="20"/>
          <w:shd w:val="clear" w:color="auto" w:fill="FFFFFF"/>
        </w:rPr>
        <w:t xml:space="preserve"> R, Gray GM, Fierstein JL, Kuo FH, Burton R, Johnson JT, Scully BB, Asante-</w:t>
      </w:r>
      <w:proofErr w:type="spellStart"/>
      <w:r w:rsidRPr="00403E29">
        <w:rPr>
          <w:rFonts w:ascii="Arial" w:hAnsi="Arial" w:cs="Arial"/>
          <w:color w:val="222222"/>
          <w:sz w:val="20"/>
          <w:szCs w:val="20"/>
          <w:shd w:val="clear" w:color="auto" w:fill="FFFFFF"/>
        </w:rPr>
        <w:t>Korang</w:t>
      </w:r>
      <w:proofErr w:type="spellEnd"/>
      <w:r w:rsidRPr="00403E29">
        <w:rPr>
          <w:rFonts w:ascii="Arial" w:hAnsi="Arial" w:cs="Arial"/>
          <w:color w:val="222222"/>
          <w:sz w:val="20"/>
          <w:szCs w:val="20"/>
          <w:shd w:val="clear" w:color="auto" w:fill="FFFFFF"/>
        </w:rPr>
        <w:t xml:space="preserve"> A, Rehman MA, Ahumada LM. A scoping review of human digital twins in healthcare applications and usage patterns. </w:t>
      </w:r>
      <w:proofErr w:type="spellStart"/>
      <w:r w:rsidRPr="00403E29">
        <w:rPr>
          <w:rFonts w:ascii="Arial" w:hAnsi="Arial" w:cs="Arial"/>
          <w:color w:val="222222"/>
          <w:sz w:val="20"/>
          <w:szCs w:val="20"/>
          <w:shd w:val="clear" w:color="auto" w:fill="FFFFFF"/>
        </w:rPr>
        <w:t>npj</w:t>
      </w:r>
      <w:proofErr w:type="spellEnd"/>
      <w:r w:rsidRPr="00403E29">
        <w:rPr>
          <w:rFonts w:ascii="Arial" w:hAnsi="Arial" w:cs="Arial"/>
          <w:color w:val="222222"/>
          <w:sz w:val="20"/>
          <w:szCs w:val="20"/>
          <w:shd w:val="clear" w:color="auto" w:fill="FFFFFF"/>
        </w:rPr>
        <w:t xml:space="preserve"> Digital Medicine. 2025 Sep 30;8(1):587.</w:t>
      </w:r>
    </w:p>
    <w:p w14:paraId="0E67D81F" w14:textId="77777777" w:rsidR="002651EE" w:rsidRDefault="002651EE" w:rsidP="002651EE">
      <w:pPr>
        <w:rPr>
          <w:rFonts w:ascii="Arial" w:hAnsi="Arial" w:cs="Arial"/>
          <w:color w:val="222222"/>
          <w:sz w:val="20"/>
          <w:szCs w:val="20"/>
          <w:shd w:val="clear" w:color="auto" w:fill="FFFFFF"/>
        </w:rPr>
      </w:pPr>
    </w:p>
    <w:p w14:paraId="40DACB6B"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Pammi M, Shah PS, Yang LK, Hagan J, </w:t>
      </w:r>
      <w:proofErr w:type="spellStart"/>
      <w:r w:rsidRPr="00403E29">
        <w:rPr>
          <w:rFonts w:ascii="Arial" w:hAnsi="Arial" w:cs="Arial"/>
          <w:color w:val="222222"/>
          <w:sz w:val="20"/>
          <w:szCs w:val="20"/>
          <w:shd w:val="clear" w:color="auto" w:fill="FFFFFF"/>
        </w:rPr>
        <w:t>Aghaeepour</w:t>
      </w:r>
      <w:proofErr w:type="spellEnd"/>
      <w:r w:rsidRPr="00403E29">
        <w:rPr>
          <w:rFonts w:ascii="Arial" w:hAnsi="Arial" w:cs="Arial"/>
          <w:color w:val="222222"/>
          <w:sz w:val="20"/>
          <w:szCs w:val="20"/>
          <w:shd w:val="clear" w:color="auto" w:fill="FFFFFF"/>
        </w:rPr>
        <w:t xml:space="preserve"> N, Neu J. Digital twins, synthetic patient data, and in-silico trials: can they empower paediatric clinical trials?. The Lancet Digital Health. 2025 May 1;7(5).</w:t>
      </w:r>
    </w:p>
    <w:p w14:paraId="24BA9D84" w14:textId="77777777" w:rsidR="002651EE" w:rsidRPr="009C4418" w:rsidRDefault="002651EE" w:rsidP="002651EE">
      <w:pPr>
        <w:rPr>
          <w:rFonts w:ascii="Arial" w:hAnsi="Arial" w:cs="Arial"/>
          <w:color w:val="222222"/>
          <w:sz w:val="20"/>
          <w:szCs w:val="20"/>
          <w:shd w:val="clear" w:color="auto" w:fill="FFFFFF"/>
        </w:rPr>
      </w:pPr>
    </w:p>
    <w:p w14:paraId="26399C08" w14:textId="77777777" w:rsidR="002651EE" w:rsidRDefault="002651EE" w:rsidP="002651EE">
      <w:pPr>
        <w:pStyle w:val="ListParagraph"/>
        <w:numPr>
          <w:ilvl w:val="0"/>
          <w:numId w:val="10"/>
        </w:numPr>
      </w:pPr>
      <w:r w:rsidRPr="00403E29">
        <w:rPr>
          <w:rFonts w:ascii="Arial" w:hAnsi="Arial" w:cs="Arial"/>
          <w:color w:val="222222"/>
          <w:sz w:val="20"/>
          <w:szCs w:val="20"/>
          <w:shd w:val="clear" w:color="auto" w:fill="FFFFFF"/>
        </w:rPr>
        <w:t xml:space="preserve">[ ] Davi R, Majumdar A, </w:t>
      </w:r>
      <w:proofErr w:type="spellStart"/>
      <w:r w:rsidRPr="00403E29">
        <w:rPr>
          <w:rFonts w:ascii="Arial" w:hAnsi="Arial" w:cs="Arial"/>
          <w:color w:val="222222"/>
          <w:sz w:val="20"/>
          <w:szCs w:val="20"/>
          <w:shd w:val="clear" w:color="auto" w:fill="FFFFFF"/>
        </w:rPr>
        <w:t>Bexon</w:t>
      </w:r>
      <w:proofErr w:type="spellEnd"/>
      <w:r w:rsidRPr="00403E29">
        <w:rPr>
          <w:rFonts w:ascii="Arial" w:hAnsi="Arial" w:cs="Arial"/>
          <w:color w:val="222222"/>
          <w:sz w:val="20"/>
          <w:szCs w:val="20"/>
          <w:shd w:val="clear" w:color="auto" w:fill="FFFFFF"/>
        </w:rPr>
        <w:t xml:space="preserve"> M, </w:t>
      </w:r>
      <w:proofErr w:type="spellStart"/>
      <w:r w:rsidRPr="00403E29">
        <w:rPr>
          <w:rFonts w:ascii="Arial" w:hAnsi="Arial" w:cs="Arial"/>
          <w:color w:val="222222"/>
          <w:sz w:val="20"/>
          <w:szCs w:val="20"/>
          <w:shd w:val="clear" w:color="auto" w:fill="FFFFFF"/>
        </w:rPr>
        <w:t>Butowski</w:t>
      </w:r>
      <w:proofErr w:type="spellEnd"/>
      <w:r w:rsidRPr="00403E29">
        <w:rPr>
          <w:rFonts w:ascii="Arial" w:hAnsi="Arial" w:cs="Arial"/>
          <w:color w:val="222222"/>
          <w:sz w:val="20"/>
          <w:szCs w:val="20"/>
          <w:shd w:val="clear" w:color="auto" w:fill="FFFFFF"/>
        </w:rPr>
        <w:t xml:space="preserve"> N, </w:t>
      </w:r>
      <w:proofErr w:type="spellStart"/>
      <w:r w:rsidRPr="00403E29">
        <w:rPr>
          <w:rFonts w:ascii="Arial" w:hAnsi="Arial" w:cs="Arial"/>
          <w:color w:val="222222"/>
          <w:sz w:val="20"/>
          <w:szCs w:val="20"/>
          <w:shd w:val="clear" w:color="auto" w:fill="FFFFFF"/>
        </w:rPr>
        <w:t>Chandhasin</w:t>
      </w:r>
      <w:proofErr w:type="spellEnd"/>
      <w:r w:rsidRPr="00403E29">
        <w:rPr>
          <w:rFonts w:ascii="Arial" w:hAnsi="Arial" w:cs="Arial"/>
          <w:color w:val="222222"/>
          <w:sz w:val="20"/>
          <w:szCs w:val="20"/>
          <w:shd w:val="clear" w:color="auto" w:fill="FFFFFF"/>
        </w:rPr>
        <w:t xml:space="preserve"> C, Coello M, Das S, Merchant F, Merchant N, Reardon D, Roessner M. CLRM-09. Incorporating external control arm in MDNA55 recurrent glioblastoma registration trial. Neuro-oncology Advances. 2021 Sep 21;3(</w:t>
      </w:r>
      <w:proofErr w:type="spellStart"/>
      <w:r w:rsidRPr="00403E29">
        <w:rPr>
          <w:rFonts w:ascii="Arial" w:hAnsi="Arial" w:cs="Arial"/>
          <w:color w:val="222222"/>
          <w:sz w:val="20"/>
          <w:szCs w:val="20"/>
          <w:shd w:val="clear" w:color="auto" w:fill="FFFFFF"/>
        </w:rPr>
        <w:t>Suppl</w:t>
      </w:r>
      <w:proofErr w:type="spellEnd"/>
      <w:r w:rsidRPr="00403E29">
        <w:rPr>
          <w:rFonts w:ascii="Arial" w:hAnsi="Arial" w:cs="Arial"/>
          <w:color w:val="222222"/>
          <w:sz w:val="20"/>
          <w:szCs w:val="20"/>
          <w:shd w:val="clear" w:color="auto" w:fill="FFFFFF"/>
        </w:rPr>
        <w:t xml:space="preserve"> 4):iv3.</w:t>
      </w:r>
    </w:p>
    <w:p w14:paraId="0B23B8E6" w14:textId="77777777" w:rsidR="002651EE" w:rsidRDefault="002651EE" w:rsidP="002651EE"/>
    <w:p w14:paraId="747908CC" w14:textId="77777777" w:rsidR="002651EE" w:rsidRDefault="002651EE" w:rsidP="002651EE">
      <w:pPr>
        <w:pStyle w:val="ListParagraph"/>
        <w:numPr>
          <w:ilvl w:val="0"/>
          <w:numId w:val="10"/>
        </w:numPr>
      </w:pPr>
      <w:r w:rsidRPr="00403E29">
        <w:rPr>
          <w:rFonts w:ascii="Arial" w:hAnsi="Arial" w:cs="Arial"/>
          <w:color w:val="222222"/>
          <w:sz w:val="20"/>
          <w:szCs w:val="20"/>
          <w:shd w:val="clear" w:color="auto" w:fill="FFFFFF"/>
        </w:rPr>
        <w:t xml:space="preserve">[ ] Davies J, Martinec M, Delmar P, Coudert M, Bordogna W, Golding S, Martina R, Crane G. Comparative effectiveness from a single-arm trial and real-world data: </w:t>
      </w:r>
      <w:proofErr w:type="spellStart"/>
      <w:r w:rsidRPr="00403E29">
        <w:rPr>
          <w:rFonts w:ascii="Arial" w:hAnsi="Arial" w:cs="Arial"/>
          <w:color w:val="222222"/>
          <w:sz w:val="20"/>
          <w:szCs w:val="20"/>
          <w:shd w:val="clear" w:color="auto" w:fill="FFFFFF"/>
        </w:rPr>
        <w:t>alectinib</w:t>
      </w:r>
      <w:proofErr w:type="spellEnd"/>
      <w:r w:rsidRPr="00403E29">
        <w:rPr>
          <w:rFonts w:ascii="Arial" w:hAnsi="Arial" w:cs="Arial"/>
          <w:color w:val="222222"/>
          <w:sz w:val="20"/>
          <w:szCs w:val="20"/>
          <w:shd w:val="clear" w:color="auto" w:fill="FFFFFF"/>
        </w:rPr>
        <w:t xml:space="preserve"> versus </w:t>
      </w:r>
      <w:proofErr w:type="spellStart"/>
      <w:r w:rsidRPr="00403E29">
        <w:rPr>
          <w:rFonts w:ascii="Arial" w:hAnsi="Arial" w:cs="Arial"/>
          <w:color w:val="222222"/>
          <w:sz w:val="20"/>
          <w:szCs w:val="20"/>
          <w:shd w:val="clear" w:color="auto" w:fill="FFFFFF"/>
        </w:rPr>
        <w:t>ceritinib</w:t>
      </w:r>
      <w:proofErr w:type="spellEnd"/>
      <w:r w:rsidRPr="00403E29">
        <w:rPr>
          <w:rFonts w:ascii="Arial" w:hAnsi="Arial" w:cs="Arial"/>
          <w:color w:val="222222"/>
          <w:sz w:val="20"/>
          <w:szCs w:val="20"/>
          <w:shd w:val="clear" w:color="auto" w:fill="FFFFFF"/>
        </w:rPr>
        <w:t>. Journal of comparative effectiveness research. 2018 Sep;7(09):855-65.</w:t>
      </w:r>
    </w:p>
    <w:p w14:paraId="6253719E" w14:textId="77777777" w:rsidR="002651EE" w:rsidRDefault="002651EE" w:rsidP="002651EE">
      <w:pPr>
        <w:rPr>
          <w:rFonts w:ascii="Arial" w:hAnsi="Arial" w:cs="Arial"/>
          <w:color w:val="222222"/>
          <w:sz w:val="20"/>
          <w:szCs w:val="20"/>
          <w:shd w:val="clear" w:color="auto" w:fill="FFFFFF"/>
        </w:rPr>
      </w:pPr>
    </w:p>
    <w:p w14:paraId="363AAFD0"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Abadie A, Diamond A, </w:t>
      </w:r>
      <w:proofErr w:type="spellStart"/>
      <w:r w:rsidRPr="00403E29">
        <w:rPr>
          <w:rFonts w:ascii="Arial" w:hAnsi="Arial" w:cs="Arial"/>
          <w:color w:val="222222"/>
          <w:sz w:val="20"/>
          <w:szCs w:val="20"/>
          <w:shd w:val="clear" w:color="auto" w:fill="FFFFFF"/>
        </w:rPr>
        <w:t>Hainmueller</w:t>
      </w:r>
      <w:proofErr w:type="spellEnd"/>
      <w:r w:rsidRPr="00403E29">
        <w:rPr>
          <w:rFonts w:ascii="Arial" w:hAnsi="Arial" w:cs="Arial"/>
          <w:color w:val="222222"/>
          <w:sz w:val="20"/>
          <w:szCs w:val="20"/>
          <w:shd w:val="clear" w:color="auto" w:fill="FFFFFF"/>
        </w:rPr>
        <w:t xml:space="preserve"> J. Synthetic control methods for comparative case studies: Estimating the effect of California’s tobacco control program. Journal of the American statistical Association. 2010 Jun 1;105(490):493-505.</w:t>
      </w:r>
    </w:p>
    <w:p w14:paraId="04778A3E" w14:textId="77777777" w:rsidR="002651EE" w:rsidRDefault="002651EE" w:rsidP="002651EE">
      <w:pPr>
        <w:rPr>
          <w:rFonts w:ascii="Arial" w:hAnsi="Arial" w:cs="Arial"/>
          <w:color w:val="222222"/>
          <w:sz w:val="20"/>
          <w:szCs w:val="20"/>
          <w:shd w:val="clear" w:color="auto" w:fill="FFFFFF"/>
        </w:rPr>
      </w:pPr>
    </w:p>
    <w:p w14:paraId="78FF3187"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 Abadie A. Using synthetic controls: Feasibility, data requirements, and methodological aspects. Journal of economic literature. 2021 Jun 1;59(2):391-425.</w:t>
      </w:r>
    </w:p>
    <w:p w14:paraId="711C1368" w14:textId="77777777" w:rsidR="002651EE" w:rsidRDefault="002651EE" w:rsidP="002651EE"/>
    <w:p w14:paraId="5D21774A"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 Thorlund K, Dron L, Park JJ, Mills EJ. Synthetic and external controls in clinical trials–a primer for researchers. Clinical epidemiology. 2020 May 8:457-67.</w:t>
      </w:r>
    </w:p>
    <w:p w14:paraId="67EA2B1F" w14:textId="77777777" w:rsidR="002651EE" w:rsidRDefault="002651EE" w:rsidP="002651EE">
      <w:pPr>
        <w:rPr>
          <w:rFonts w:ascii="Arial" w:hAnsi="Arial" w:cs="Arial"/>
          <w:color w:val="222222"/>
          <w:sz w:val="20"/>
          <w:szCs w:val="20"/>
          <w:shd w:val="clear" w:color="auto" w:fill="FFFFFF"/>
        </w:rPr>
      </w:pPr>
    </w:p>
    <w:p w14:paraId="1D852AEA"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w:t>
      </w:r>
      <w:proofErr w:type="spellStart"/>
      <w:r w:rsidRPr="00403E29">
        <w:rPr>
          <w:rFonts w:ascii="Arial" w:hAnsi="Arial" w:cs="Arial"/>
          <w:color w:val="222222"/>
          <w:sz w:val="20"/>
          <w:szCs w:val="20"/>
          <w:shd w:val="clear" w:color="auto" w:fill="FFFFFF"/>
        </w:rPr>
        <w:t>Tessoulin</w:t>
      </w:r>
      <w:proofErr w:type="spellEnd"/>
      <w:r w:rsidRPr="00403E29">
        <w:rPr>
          <w:rFonts w:ascii="Arial" w:hAnsi="Arial" w:cs="Arial"/>
          <w:color w:val="222222"/>
          <w:sz w:val="20"/>
          <w:szCs w:val="20"/>
          <w:shd w:val="clear" w:color="auto" w:fill="FFFFFF"/>
        </w:rPr>
        <w:t xml:space="preserve"> B, LETAILLEUR V, </w:t>
      </w:r>
      <w:proofErr w:type="spellStart"/>
      <w:r w:rsidRPr="00403E29">
        <w:rPr>
          <w:rFonts w:ascii="Arial" w:hAnsi="Arial" w:cs="Arial"/>
          <w:color w:val="222222"/>
          <w:sz w:val="20"/>
          <w:szCs w:val="20"/>
          <w:shd w:val="clear" w:color="auto" w:fill="FFFFFF"/>
        </w:rPr>
        <w:t>Chaillol</w:t>
      </w:r>
      <w:proofErr w:type="spellEnd"/>
      <w:r w:rsidRPr="00403E29">
        <w:rPr>
          <w:rFonts w:ascii="Arial" w:hAnsi="Arial" w:cs="Arial"/>
          <w:color w:val="222222"/>
          <w:sz w:val="20"/>
          <w:szCs w:val="20"/>
          <w:shd w:val="clear" w:color="auto" w:fill="FFFFFF"/>
        </w:rPr>
        <w:t xml:space="preserve"> I, </w:t>
      </w:r>
      <w:proofErr w:type="spellStart"/>
      <w:r w:rsidRPr="00403E29">
        <w:rPr>
          <w:rFonts w:ascii="Arial" w:hAnsi="Arial" w:cs="Arial"/>
          <w:color w:val="222222"/>
          <w:sz w:val="20"/>
          <w:szCs w:val="20"/>
          <w:shd w:val="clear" w:color="auto" w:fill="FFFFFF"/>
        </w:rPr>
        <w:t>Cherblanc</w:t>
      </w:r>
      <w:proofErr w:type="spellEnd"/>
      <w:r w:rsidRPr="00403E29">
        <w:rPr>
          <w:rFonts w:ascii="Arial" w:hAnsi="Arial" w:cs="Arial"/>
          <w:color w:val="222222"/>
          <w:sz w:val="20"/>
          <w:szCs w:val="20"/>
          <w:shd w:val="clear" w:color="auto" w:fill="FFFFFF"/>
        </w:rPr>
        <w:t xml:space="preserve"> F, </w:t>
      </w:r>
      <w:proofErr w:type="spellStart"/>
      <w:r w:rsidRPr="00403E29">
        <w:rPr>
          <w:rFonts w:ascii="Arial" w:hAnsi="Arial" w:cs="Arial"/>
          <w:color w:val="222222"/>
          <w:sz w:val="20"/>
          <w:szCs w:val="20"/>
          <w:shd w:val="clear" w:color="auto" w:fill="FFFFFF"/>
        </w:rPr>
        <w:t>Ghesquières</w:t>
      </w:r>
      <w:proofErr w:type="spellEnd"/>
      <w:r w:rsidRPr="00403E29">
        <w:rPr>
          <w:rFonts w:ascii="Arial" w:hAnsi="Arial" w:cs="Arial"/>
          <w:color w:val="222222"/>
          <w:sz w:val="20"/>
          <w:szCs w:val="20"/>
          <w:shd w:val="clear" w:color="auto" w:fill="FFFFFF"/>
        </w:rPr>
        <w:t xml:space="preserve"> H, </w:t>
      </w:r>
      <w:proofErr w:type="spellStart"/>
      <w:r w:rsidRPr="00403E29">
        <w:rPr>
          <w:rFonts w:ascii="Arial" w:hAnsi="Arial" w:cs="Arial"/>
          <w:color w:val="222222"/>
          <w:sz w:val="20"/>
          <w:szCs w:val="20"/>
          <w:shd w:val="clear" w:color="auto" w:fill="FFFFFF"/>
        </w:rPr>
        <w:t>Peyrade</w:t>
      </w:r>
      <w:proofErr w:type="spellEnd"/>
      <w:r w:rsidRPr="00403E29">
        <w:rPr>
          <w:rFonts w:ascii="Arial" w:hAnsi="Arial" w:cs="Arial"/>
          <w:color w:val="222222"/>
          <w:sz w:val="20"/>
          <w:szCs w:val="20"/>
          <w:shd w:val="clear" w:color="auto" w:fill="FFFFFF"/>
        </w:rPr>
        <w:t xml:space="preserve"> F, </w:t>
      </w:r>
      <w:proofErr w:type="spellStart"/>
      <w:r w:rsidRPr="00403E29">
        <w:rPr>
          <w:rFonts w:ascii="Arial" w:hAnsi="Arial" w:cs="Arial"/>
          <w:color w:val="222222"/>
          <w:sz w:val="20"/>
          <w:szCs w:val="20"/>
          <w:shd w:val="clear" w:color="auto" w:fill="FFFFFF"/>
        </w:rPr>
        <w:t>Guidez</w:t>
      </w:r>
      <w:proofErr w:type="spellEnd"/>
      <w:r w:rsidRPr="00403E29">
        <w:rPr>
          <w:rFonts w:ascii="Arial" w:hAnsi="Arial" w:cs="Arial"/>
          <w:color w:val="222222"/>
          <w:sz w:val="20"/>
          <w:szCs w:val="20"/>
          <w:shd w:val="clear" w:color="auto" w:fill="FFFFFF"/>
        </w:rPr>
        <w:t xml:space="preserve"> S, Bijou F, </w:t>
      </w:r>
      <w:proofErr w:type="spellStart"/>
      <w:r w:rsidRPr="00403E29">
        <w:rPr>
          <w:rFonts w:ascii="Arial" w:hAnsi="Arial" w:cs="Arial"/>
          <w:color w:val="222222"/>
          <w:sz w:val="20"/>
          <w:szCs w:val="20"/>
          <w:shd w:val="clear" w:color="auto" w:fill="FFFFFF"/>
        </w:rPr>
        <w:t>Sesques</w:t>
      </w:r>
      <w:proofErr w:type="spellEnd"/>
      <w:r w:rsidRPr="00403E29">
        <w:rPr>
          <w:rFonts w:ascii="Arial" w:hAnsi="Arial" w:cs="Arial"/>
          <w:color w:val="222222"/>
          <w:sz w:val="20"/>
          <w:szCs w:val="20"/>
          <w:shd w:val="clear" w:color="auto" w:fill="FFFFFF"/>
        </w:rPr>
        <w:t xml:space="preserve"> P, Rossi C, </w:t>
      </w:r>
      <w:proofErr w:type="spellStart"/>
      <w:r w:rsidRPr="00403E29">
        <w:rPr>
          <w:rFonts w:ascii="Arial" w:hAnsi="Arial" w:cs="Arial"/>
          <w:color w:val="222222"/>
          <w:sz w:val="20"/>
          <w:szCs w:val="20"/>
          <w:shd w:val="clear" w:color="auto" w:fill="FFFFFF"/>
        </w:rPr>
        <w:t>Fornecker</w:t>
      </w:r>
      <w:proofErr w:type="spellEnd"/>
      <w:r w:rsidRPr="00403E29">
        <w:rPr>
          <w:rFonts w:ascii="Arial" w:hAnsi="Arial" w:cs="Arial"/>
          <w:color w:val="222222"/>
          <w:sz w:val="20"/>
          <w:szCs w:val="20"/>
          <w:shd w:val="clear" w:color="auto" w:fill="FFFFFF"/>
        </w:rPr>
        <w:t xml:space="preserve"> LM. Synthetic control arm from mixed clinical trials and real-world data from LYSA group for untreated diffuse large B cell lymphoma patients aged over 80 years: a bona fide strategy for innovative clinical trials.</w:t>
      </w:r>
    </w:p>
    <w:p w14:paraId="18CC2701" w14:textId="77777777" w:rsidR="002651EE" w:rsidRDefault="002651EE" w:rsidP="002651EE">
      <w:pPr>
        <w:rPr>
          <w:rFonts w:ascii="Arial" w:hAnsi="Arial" w:cs="Arial"/>
          <w:color w:val="222222"/>
          <w:sz w:val="20"/>
          <w:szCs w:val="20"/>
          <w:shd w:val="clear" w:color="auto" w:fill="FFFFFF"/>
        </w:rPr>
      </w:pPr>
    </w:p>
    <w:p w14:paraId="6B011C97"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Jackson R, Johnson P, Berhane S, </w:t>
      </w:r>
      <w:proofErr w:type="spellStart"/>
      <w:r w:rsidRPr="00403E29">
        <w:rPr>
          <w:rFonts w:ascii="Arial" w:hAnsi="Arial" w:cs="Arial"/>
          <w:color w:val="222222"/>
          <w:sz w:val="20"/>
          <w:szCs w:val="20"/>
          <w:shd w:val="clear" w:color="auto" w:fill="FFFFFF"/>
        </w:rPr>
        <w:t>Kolamunnage</w:t>
      </w:r>
      <w:proofErr w:type="spellEnd"/>
      <w:r w:rsidRPr="00403E29">
        <w:rPr>
          <w:rFonts w:ascii="Arial" w:hAnsi="Arial" w:cs="Arial"/>
          <w:color w:val="222222"/>
          <w:sz w:val="20"/>
          <w:szCs w:val="20"/>
          <w:shd w:val="clear" w:color="auto" w:fill="FFFFFF"/>
        </w:rPr>
        <w:t>-Dona R, Hughes D, Dodd S, Neoptolemos J, Palmer D, Cox T. Estimating treatment effects using parametric models as counter-factual evidence. BMC medical research methodology. 2025 Apr 9;25(1):91.</w:t>
      </w:r>
    </w:p>
    <w:p w14:paraId="24B2B4C8" w14:textId="77777777" w:rsidR="002651EE" w:rsidRPr="002651EE" w:rsidRDefault="002651EE" w:rsidP="002651EE">
      <w:pPr>
        <w:pStyle w:val="ListParagraph"/>
        <w:rPr>
          <w:rFonts w:ascii="Arial" w:hAnsi="Arial" w:cs="Arial"/>
          <w:color w:val="222222"/>
          <w:sz w:val="20"/>
          <w:szCs w:val="20"/>
          <w:shd w:val="clear" w:color="auto" w:fill="FFFFFF"/>
        </w:rPr>
      </w:pPr>
    </w:p>
    <w:p w14:paraId="76CE3418" w14:textId="77777777" w:rsidR="002651EE" w:rsidRP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Boyer CB, </w:t>
      </w:r>
      <w:proofErr w:type="spellStart"/>
      <w:r w:rsidRPr="00403E29">
        <w:rPr>
          <w:rFonts w:ascii="Arial" w:hAnsi="Arial" w:cs="Arial"/>
          <w:color w:val="222222"/>
          <w:sz w:val="20"/>
          <w:szCs w:val="20"/>
          <w:shd w:val="clear" w:color="auto" w:fill="FFFFFF"/>
        </w:rPr>
        <w:t>Dahabreh</w:t>
      </w:r>
      <w:proofErr w:type="spellEnd"/>
      <w:r w:rsidRPr="00403E29">
        <w:rPr>
          <w:rFonts w:ascii="Arial" w:hAnsi="Arial" w:cs="Arial"/>
          <w:color w:val="222222"/>
          <w:sz w:val="20"/>
          <w:szCs w:val="20"/>
          <w:shd w:val="clear" w:color="auto" w:fill="FFFFFF"/>
        </w:rPr>
        <w:t xml:space="preserve"> IJ, Steingrimsson JA. Estimating and evaluating counterfactual prediction models. Statistics in Medicine. 2025 Oct;44(23-24):e70287. </w:t>
      </w:r>
    </w:p>
    <w:p w14:paraId="5FB17BF2" w14:textId="77777777" w:rsidR="002651EE" w:rsidRDefault="002651EE" w:rsidP="002651EE"/>
    <w:p w14:paraId="36ECDD17"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t xml:space="preserve">[ ] </w:t>
      </w:r>
      <w:proofErr w:type="spellStart"/>
      <w:r w:rsidRPr="00403E29">
        <w:rPr>
          <w:rFonts w:ascii="Arial" w:hAnsi="Arial" w:cs="Arial"/>
          <w:color w:val="222222"/>
          <w:sz w:val="20"/>
          <w:szCs w:val="20"/>
          <w:shd w:val="clear" w:color="auto" w:fill="FFFFFF"/>
        </w:rPr>
        <w:t>Cucherat</w:t>
      </w:r>
      <w:proofErr w:type="spellEnd"/>
      <w:r w:rsidRPr="00403E29">
        <w:rPr>
          <w:rFonts w:ascii="Arial" w:hAnsi="Arial" w:cs="Arial"/>
          <w:color w:val="222222"/>
          <w:sz w:val="20"/>
          <w:szCs w:val="20"/>
          <w:shd w:val="clear" w:color="auto" w:fill="FFFFFF"/>
        </w:rPr>
        <w:t xml:space="preserve"> M, Laporte S, </w:t>
      </w:r>
      <w:proofErr w:type="spellStart"/>
      <w:r w:rsidRPr="00403E29">
        <w:rPr>
          <w:rFonts w:ascii="Arial" w:hAnsi="Arial" w:cs="Arial"/>
          <w:color w:val="222222"/>
          <w:sz w:val="20"/>
          <w:szCs w:val="20"/>
          <w:shd w:val="clear" w:color="auto" w:fill="FFFFFF"/>
        </w:rPr>
        <w:t>Delaitre</w:t>
      </w:r>
      <w:proofErr w:type="spellEnd"/>
      <w:r w:rsidRPr="00403E29">
        <w:rPr>
          <w:rFonts w:ascii="Arial" w:hAnsi="Arial" w:cs="Arial"/>
          <w:color w:val="222222"/>
          <w:sz w:val="20"/>
          <w:szCs w:val="20"/>
          <w:shd w:val="clear" w:color="auto" w:fill="FFFFFF"/>
        </w:rPr>
        <w:t xml:space="preserve"> O, </w:t>
      </w:r>
      <w:proofErr w:type="spellStart"/>
      <w:r w:rsidRPr="00403E29">
        <w:rPr>
          <w:rFonts w:ascii="Arial" w:hAnsi="Arial" w:cs="Arial"/>
          <w:color w:val="222222"/>
          <w:sz w:val="20"/>
          <w:szCs w:val="20"/>
          <w:shd w:val="clear" w:color="auto" w:fill="FFFFFF"/>
        </w:rPr>
        <w:t>Behier</w:t>
      </w:r>
      <w:proofErr w:type="spellEnd"/>
      <w:r w:rsidRPr="00403E29">
        <w:rPr>
          <w:rFonts w:ascii="Arial" w:hAnsi="Arial" w:cs="Arial"/>
          <w:color w:val="222222"/>
          <w:sz w:val="20"/>
          <w:szCs w:val="20"/>
          <w:shd w:val="clear" w:color="auto" w:fill="FFFFFF"/>
        </w:rPr>
        <w:t xml:space="preserve"> JM, </w:t>
      </w:r>
      <w:proofErr w:type="spellStart"/>
      <w:r w:rsidRPr="00403E29">
        <w:rPr>
          <w:rFonts w:ascii="Arial" w:hAnsi="Arial" w:cs="Arial"/>
          <w:color w:val="222222"/>
          <w:sz w:val="20"/>
          <w:szCs w:val="20"/>
          <w:shd w:val="clear" w:color="auto" w:fill="FFFFFF"/>
        </w:rPr>
        <w:t>d’Andon</w:t>
      </w:r>
      <w:proofErr w:type="spellEnd"/>
      <w:r w:rsidRPr="00403E29">
        <w:rPr>
          <w:rFonts w:ascii="Arial" w:hAnsi="Arial" w:cs="Arial"/>
          <w:color w:val="222222"/>
          <w:sz w:val="20"/>
          <w:szCs w:val="20"/>
          <w:shd w:val="clear" w:color="auto" w:fill="FFFFFF"/>
        </w:rPr>
        <w:t xml:space="preserve"> A, </w:t>
      </w:r>
      <w:proofErr w:type="spellStart"/>
      <w:r w:rsidRPr="00403E29">
        <w:rPr>
          <w:rFonts w:ascii="Arial" w:hAnsi="Arial" w:cs="Arial"/>
          <w:color w:val="222222"/>
          <w:sz w:val="20"/>
          <w:szCs w:val="20"/>
          <w:shd w:val="clear" w:color="auto" w:fill="FFFFFF"/>
        </w:rPr>
        <w:t>Binlich</w:t>
      </w:r>
      <w:proofErr w:type="spellEnd"/>
      <w:r w:rsidRPr="00403E29">
        <w:rPr>
          <w:rFonts w:ascii="Arial" w:hAnsi="Arial" w:cs="Arial"/>
          <w:color w:val="222222"/>
          <w:sz w:val="20"/>
          <w:szCs w:val="20"/>
          <w:shd w:val="clear" w:color="auto" w:fill="FFFFFF"/>
        </w:rPr>
        <w:t xml:space="preserve"> F, Bureau S, Cornu C, </w:t>
      </w:r>
      <w:proofErr w:type="spellStart"/>
      <w:r w:rsidRPr="00403E29">
        <w:rPr>
          <w:rFonts w:ascii="Arial" w:hAnsi="Arial" w:cs="Arial"/>
          <w:color w:val="222222"/>
          <w:sz w:val="20"/>
          <w:szCs w:val="20"/>
          <w:shd w:val="clear" w:color="auto" w:fill="FFFFFF"/>
        </w:rPr>
        <w:t>Fouret</w:t>
      </w:r>
      <w:proofErr w:type="spellEnd"/>
      <w:r w:rsidRPr="00403E29">
        <w:rPr>
          <w:rFonts w:ascii="Arial" w:hAnsi="Arial" w:cs="Arial"/>
          <w:color w:val="222222"/>
          <w:sz w:val="20"/>
          <w:szCs w:val="20"/>
          <w:shd w:val="clear" w:color="auto" w:fill="FFFFFF"/>
        </w:rPr>
        <w:t xml:space="preserve"> C, </w:t>
      </w:r>
      <w:proofErr w:type="spellStart"/>
      <w:r w:rsidRPr="00403E29">
        <w:rPr>
          <w:rFonts w:ascii="Arial" w:hAnsi="Arial" w:cs="Arial"/>
          <w:color w:val="222222"/>
          <w:sz w:val="20"/>
          <w:szCs w:val="20"/>
          <w:shd w:val="clear" w:color="auto" w:fill="FFFFFF"/>
        </w:rPr>
        <w:t>Labouret</w:t>
      </w:r>
      <w:proofErr w:type="spellEnd"/>
      <w:r w:rsidRPr="00403E29">
        <w:rPr>
          <w:rFonts w:ascii="Arial" w:hAnsi="Arial" w:cs="Arial"/>
          <w:color w:val="222222"/>
          <w:sz w:val="20"/>
          <w:szCs w:val="20"/>
          <w:shd w:val="clear" w:color="auto" w:fill="FFFFFF"/>
        </w:rPr>
        <w:t xml:space="preserve"> NH, </w:t>
      </w:r>
      <w:proofErr w:type="spellStart"/>
      <w:r w:rsidRPr="00403E29">
        <w:rPr>
          <w:rFonts w:ascii="Arial" w:hAnsi="Arial" w:cs="Arial"/>
          <w:color w:val="222222"/>
          <w:sz w:val="20"/>
          <w:szCs w:val="20"/>
          <w:shd w:val="clear" w:color="auto" w:fill="FFFFFF"/>
        </w:rPr>
        <w:t>Laviolle</w:t>
      </w:r>
      <w:proofErr w:type="spellEnd"/>
      <w:r w:rsidRPr="00403E29">
        <w:rPr>
          <w:rFonts w:ascii="Arial" w:hAnsi="Arial" w:cs="Arial"/>
          <w:color w:val="222222"/>
          <w:sz w:val="20"/>
          <w:szCs w:val="20"/>
          <w:shd w:val="clear" w:color="auto" w:fill="FFFFFF"/>
        </w:rPr>
        <w:t xml:space="preserve"> B. From single-arm studies to externally controlled studies. Methodological considerations and guidelines. Therapies. 2020 Jan 1;75(1):21-7.</w:t>
      </w:r>
    </w:p>
    <w:p w14:paraId="37EA7D98" w14:textId="77777777" w:rsidR="002651EE" w:rsidRDefault="002651EE" w:rsidP="002651EE">
      <w:pPr>
        <w:ind w:firstLine="60"/>
        <w:rPr>
          <w:rFonts w:ascii="Arial" w:hAnsi="Arial" w:cs="Arial"/>
          <w:color w:val="222222"/>
          <w:sz w:val="20"/>
          <w:szCs w:val="20"/>
          <w:shd w:val="clear" w:color="auto" w:fill="FFFFFF"/>
        </w:rPr>
      </w:pPr>
    </w:p>
    <w:p w14:paraId="39E0F993" w14:textId="77777777" w:rsidR="002651EE" w:rsidRDefault="002651EE" w:rsidP="002651EE">
      <w:pPr>
        <w:rPr>
          <w:rFonts w:ascii="Arial" w:hAnsi="Arial" w:cs="Arial"/>
          <w:color w:val="222222"/>
          <w:sz w:val="20"/>
          <w:szCs w:val="20"/>
          <w:shd w:val="clear" w:color="auto" w:fill="FFFFFF"/>
        </w:rPr>
      </w:pPr>
    </w:p>
    <w:p w14:paraId="06D34F94" w14:textId="77777777" w:rsidR="002651EE" w:rsidRPr="00980F25" w:rsidRDefault="002651EE" w:rsidP="002651EE">
      <w:pPr>
        <w:pStyle w:val="ListParagraph"/>
        <w:rPr>
          <w:rFonts w:ascii="Arial" w:hAnsi="Arial" w:cs="Arial"/>
          <w:color w:val="222222"/>
          <w:sz w:val="20"/>
          <w:szCs w:val="20"/>
          <w:shd w:val="clear" w:color="auto" w:fill="FFFFFF"/>
        </w:rPr>
      </w:pPr>
    </w:p>
    <w:p w14:paraId="4190A926" w14:textId="77777777" w:rsidR="002651EE" w:rsidRPr="001A22C5" w:rsidRDefault="002651EE" w:rsidP="00831E3D"/>
    <w:sectPr w:rsidR="002651EE" w:rsidRPr="001A2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Times">
    <w:altName w:val="Times New Roman"/>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1208B"/>
    <w:multiLevelType w:val="hybridMultilevel"/>
    <w:tmpl w:val="37BCB458"/>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C5358B"/>
    <w:multiLevelType w:val="multilevel"/>
    <w:tmpl w:val="85E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44B73"/>
    <w:multiLevelType w:val="multilevel"/>
    <w:tmpl w:val="7F6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A74D89"/>
    <w:multiLevelType w:val="multilevel"/>
    <w:tmpl w:val="8DAEB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96CB7"/>
    <w:multiLevelType w:val="multilevel"/>
    <w:tmpl w:val="0C20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0F4379"/>
    <w:multiLevelType w:val="hybridMultilevel"/>
    <w:tmpl w:val="46B4FB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7F7411"/>
    <w:multiLevelType w:val="hybridMultilevel"/>
    <w:tmpl w:val="A67C6376"/>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49633C6"/>
    <w:multiLevelType w:val="multilevel"/>
    <w:tmpl w:val="E60E4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C4FAC"/>
    <w:multiLevelType w:val="multilevel"/>
    <w:tmpl w:val="9DE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4815F4"/>
    <w:multiLevelType w:val="hybridMultilevel"/>
    <w:tmpl w:val="113A5258"/>
    <w:lvl w:ilvl="0" w:tplc="82D21C70">
      <w:start w:val="57"/>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9794735">
    <w:abstractNumId w:val="9"/>
  </w:num>
  <w:num w:numId="2" w16cid:durableId="1093087549">
    <w:abstractNumId w:val="8"/>
  </w:num>
  <w:num w:numId="3" w16cid:durableId="400569251">
    <w:abstractNumId w:val="4"/>
  </w:num>
  <w:num w:numId="4" w16cid:durableId="1079333056">
    <w:abstractNumId w:val="3"/>
  </w:num>
  <w:num w:numId="5" w16cid:durableId="172498450">
    <w:abstractNumId w:val="1"/>
  </w:num>
  <w:num w:numId="6" w16cid:durableId="1669864536">
    <w:abstractNumId w:val="7"/>
  </w:num>
  <w:num w:numId="7" w16cid:durableId="1976329908">
    <w:abstractNumId w:val="2"/>
  </w:num>
  <w:num w:numId="8" w16cid:durableId="2096824523">
    <w:abstractNumId w:val="5"/>
  </w:num>
  <w:num w:numId="9" w16cid:durableId="1266883329">
    <w:abstractNumId w:val="6"/>
  </w:num>
  <w:num w:numId="10" w16cid:durableId="720635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E3D"/>
    <w:rsid w:val="0013212F"/>
    <w:rsid w:val="001A22C5"/>
    <w:rsid w:val="001C5E94"/>
    <w:rsid w:val="002651EE"/>
    <w:rsid w:val="002E11DB"/>
    <w:rsid w:val="0038113C"/>
    <w:rsid w:val="00403E29"/>
    <w:rsid w:val="00486A83"/>
    <w:rsid w:val="005D0839"/>
    <w:rsid w:val="0067527C"/>
    <w:rsid w:val="00831E3D"/>
    <w:rsid w:val="008321A3"/>
    <w:rsid w:val="00833B39"/>
    <w:rsid w:val="009004A0"/>
    <w:rsid w:val="00965173"/>
    <w:rsid w:val="00980F25"/>
    <w:rsid w:val="009971DD"/>
    <w:rsid w:val="009C4418"/>
    <w:rsid w:val="00A3359D"/>
    <w:rsid w:val="00A4320E"/>
    <w:rsid w:val="00DD06A2"/>
    <w:rsid w:val="00DF564B"/>
    <w:rsid w:val="00E21B0C"/>
    <w:rsid w:val="00ED2A17"/>
    <w:rsid w:val="00FE18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12990"/>
  <w15:chartTrackingRefBased/>
  <w15:docId w15:val="{D1447302-FD88-F34D-B8F5-291AC51CC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E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E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1E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31E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E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E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E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E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E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E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E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E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31E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E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E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E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E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E3D"/>
    <w:rPr>
      <w:rFonts w:eastAsiaTheme="majorEastAsia" w:cstheme="majorBidi"/>
      <w:color w:val="272727" w:themeColor="text1" w:themeTint="D8"/>
    </w:rPr>
  </w:style>
  <w:style w:type="paragraph" w:styleId="Title">
    <w:name w:val="Title"/>
    <w:basedOn w:val="Normal"/>
    <w:next w:val="Normal"/>
    <w:link w:val="TitleChar"/>
    <w:uiPriority w:val="10"/>
    <w:qFormat/>
    <w:rsid w:val="00831E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E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E3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E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E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31E3D"/>
    <w:rPr>
      <w:i/>
      <w:iCs/>
      <w:color w:val="404040" w:themeColor="text1" w:themeTint="BF"/>
    </w:rPr>
  </w:style>
  <w:style w:type="paragraph" w:styleId="ListParagraph">
    <w:name w:val="List Paragraph"/>
    <w:basedOn w:val="Normal"/>
    <w:uiPriority w:val="34"/>
    <w:qFormat/>
    <w:rsid w:val="00831E3D"/>
    <w:pPr>
      <w:ind w:left="720"/>
      <w:contextualSpacing/>
    </w:pPr>
  </w:style>
  <w:style w:type="character" w:styleId="IntenseEmphasis">
    <w:name w:val="Intense Emphasis"/>
    <w:basedOn w:val="DefaultParagraphFont"/>
    <w:uiPriority w:val="21"/>
    <w:qFormat/>
    <w:rsid w:val="00831E3D"/>
    <w:rPr>
      <w:i/>
      <w:iCs/>
      <w:color w:val="0F4761" w:themeColor="accent1" w:themeShade="BF"/>
    </w:rPr>
  </w:style>
  <w:style w:type="paragraph" w:styleId="IntenseQuote">
    <w:name w:val="Intense Quote"/>
    <w:basedOn w:val="Normal"/>
    <w:next w:val="Normal"/>
    <w:link w:val="IntenseQuoteChar"/>
    <w:uiPriority w:val="30"/>
    <w:qFormat/>
    <w:rsid w:val="00831E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E3D"/>
    <w:rPr>
      <w:i/>
      <w:iCs/>
      <w:color w:val="0F4761" w:themeColor="accent1" w:themeShade="BF"/>
    </w:rPr>
  </w:style>
  <w:style w:type="character" w:styleId="IntenseReference">
    <w:name w:val="Intense Reference"/>
    <w:basedOn w:val="DefaultParagraphFont"/>
    <w:uiPriority w:val="32"/>
    <w:qFormat/>
    <w:rsid w:val="00831E3D"/>
    <w:rPr>
      <w:b/>
      <w:bCs/>
      <w:smallCaps/>
      <w:color w:val="0F4761" w:themeColor="accent1" w:themeShade="BF"/>
      <w:spacing w:val="5"/>
    </w:rPr>
  </w:style>
  <w:style w:type="paragraph" w:styleId="NormalWeb">
    <w:name w:val="Normal (Web)"/>
    <w:basedOn w:val="Normal"/>
    <w:uiPriority w:val="99"/>
    <w:semiHidden/>
    <w:unhideWhenUsed/>
    <w:rsid w:val="001A22C5"/>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A22C5"/>
    <w:rPr>
      <w:b/>
      <w:bCs/>
    </w:rPr>
  </w:style>
  <w:style w:type="character" w:customStyle="1" w:styleId="apple-converted-space">
    <w:name w:val="apple-converted-space"/>
    <w:basedOn w:val="DefaultParagraphFont"/>
    <w:rsid w:val="001A22C5"/>
  </w:style>
  <w:style w:type="paragraph" w:styleId="Bibliography">
    <w:name w:val="Bibliography"/>
    <w:basedOn w:val="Normal"/>
    <w:next w:val="Normal"/>
    <w:uiPriority w:val="37"/>
    <w:unhideWhenUsed/>
    <w:rsid w:val="00DF564B"/>
  </w:style>
  <w:style w:type="paragraph" w:customStyle="1" w:styleId="p1">
    <w:name w:val="p1"/>
    <w:basedOn w:val="Normal"/>
    <w:rsid w:val="00FE187C"/>
    <w:rPr>
      <w:rFonts w:ascii="Trebuchet MS" w:eastAsia="Times New Roman" w:hAnsi="Trebuchet MS" w:cs="Times New Roman"/>
      <w:color w:val="141413"/>
      <w:kern w:val="0"/>
      <w:sz w:val="14"/>
      <w:szCs w:val="14"/>
      <w:lang w:eastAsia="en-GB"/>
      <w14:ligatures w14:val="none"/>
    </w:rPr>
  </w:style>
  <w:style w:type="character" w:customStyle="1" w:styleId="s1">
    <w:name w:val="s1"/>
    <w:basedOn w:val="DefaultParagraphFont"/>
    <w:rsid w:val="00FE187C"/>
    <w:rPr>
      <w:rFonts w:ascii="Times" w:hAnsi="Times" w:hint="default"/>
      <w:sz w:val="2"/>
      <w:szCs w:val="2"/>
    </w:rPr>
  </w:style>
  <w:style w:type="paragraph" w:styleId="NoSpacing">
    <w:name w:val="No Spacing"/>
    <w:uiPriority w:val="1"/>
    <w:qFormat/>
    <w:rsid w:val="00980F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693684">
      <w:bodyDiv w:val="1"/>
      <w:marLeft w:val="0"/>
      <w:marRight w:val="0"/>
      <w:marTop w:val="0"/>
      <w:marBottom w:val="0"/>
      <w:divBdr>
        <w:top w:val="none" w:sz="0" w:space="0" w:color="auto"/>
        <w:left w:val="none" w:sz="0" w:space="0" w:color="auto"/>
        <w:bottom w:val="none" w:sz="0" w:space="0" w:color="auto"/>
        <w:right w:val="none" w:sz="0" w:space="0" w:color="auto"/>
      </w:divBdr>
    </w:div>
    <w:div w:id="445197197">
      <w:bodyDiv w:val="1"/>
      <w:marLeft w:val="0"/>
      <w:marRight w:val="0"/>
      <w:marTop w:val="0"/>
      <w:marBottom w:val="0"/>
      <w:divBdr>
        <w:top w:val="none" w:sz="0" w:space="0" w:color="auto"/>
        <w:left w:val="none" w:sz="0" w:space="0" w:color="auto"/>
        <w:bottom w:val="none" w:sz="0" w:space="0" w:color="auto"/>
        <w:right w:val="none" w:sz="0" w:space="0" w:color="auto"/>
      </w:divBdr>
    </w:div>
    <w:div w:id="10217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DFC214-474A-CA41-A499-A3105AF9A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6</Pages>
  <Words>1453</Words>
  <Characters>8283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Richard [richj23]</dc:creator>
  <cp:keywords/>
  <dc:description/>
  <cp:lastModifiedBy>Jackson, Richard [richj23]</cp:lastModifiedBy>
  <cp:revision>6</cp:revision>
  <dcterms:created xsi:type="dcterms:W3CDTF">2026-01-12T10:42:00Z</dcterms:created>
  <dcterms:modified xsi:type="dcterms:W3CDTF">2026-02-10T13:49:00Z</dcterms:modified>
</cp:coreProperties>
</file>