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04E5C9" w14:textId="347E2468" w:rsidR="008321A3" w:rsidRDefault="00831E3D" w:rsidP="001A22C5">
      <w:pPr>
        <w:pStyle w:val="Title"/>
      </w:pPr>
      <w:r w:rsidRPr="001A22C5">
        <w:t>Synthetically Controlled Trials</w:t>
      </w:r>
      <w:r w:rsidR="001A22C5">
        <w:t xml:space="preserve"> in Clinical Research</w:t>
      </w:r>
    </w:p>
    <w:p w14:paraId="61B38F5F" w14:textId="77777777" w:rsidR="001A22C5" w:rsidRDefault="001A22C5" w:rsidP="001A22C5"/>
    <w:p w14:paraId="718FAA2F" w14:textId="64B61A80" w:rsidR="001A22C5" w:rsidRDefault="001A22C5" w:rsidP="001A22C5">
      <w:pPr>
        <w:pStyle w:val="Heading1"/>
      </w:pPr>
      <w:r>
        <w:t>Authors and Affiliation</w:t>
      </w:r>
    </w:p>
    <w:p w14:paraId="26B0ACE0" w14:textId="77777777" w:rsidR="001A22C5" w:rsidRDefault="001A22C5" w:rsidP="001A22C5"/>
    <w:p w14:paraId="7F9B9C46" w14:textId="65C3F56C" w:rsidR="001A22C5" w:rsidRDefault="001A22C5" w:rsidP="001A22C5">
      <w:r>
        <w:t>Richard Jackson</w:t>
      </w:r>
      <w:r w:rsidRPr="001A22C5">
        <w:rPr>
          <w:vertAlign w:val="superscript"/>
        </w:rPr>
        <w:t>1</w:t>
      </w:r>
    </w:p>
    <w:p w14:paraId="41ACC4D8" w14:textId="2504062B" w:rsidR="001A22C5" w:rsidRDefault="001A22C5" w:rsidP="001A22C5">
      <w:r>
        <w:t>Nicole Cizauskas</w:t>
      </w:r>
      <w:r w:rsidRPr="001A22C5">
        <w:rPr>
          <w:vertAlign w:val="superscript"/>
        </w:rPr>
        <w:t>1</w:t>
      </w:r>
    </w:p>
    <w:p w14:paraId="4F4089E4" w14:textId="3E873EEF" w:rsidR="001A22C5" w:rsidRDefault="001A22C5" w:rsidP="001A22C5">
      <w:proofErr w:type="spellStart"/>
      <w:r>
        <w:t>Kusqaum</w:t>
      </w:r>
      <w:proofErr w:type="spellEnd"/>
      <w:r>
        <w:t xml:space="preserve"> Adam</w:t>
      </w:r>
      <w:r w:rsidRPr="001A22C5">
        <w:rPr>
          <w:vertAlign w:val="superscript"/>
        </w:rPr>
        <w:t>1</w:t>
      </w:r>
    </w:p>
    <w:p w14:paraId="7F321663" w14:textId="056B7997" w:rsidR="001A22C5" w:rsidRPr="001A22C5" w:rsidRDefault="001A22C5" w:rsidP="001A22C5">
      <w:r>
        <w:t>Thomas Spain</w:t>
      </w:r>
      <w:r w:rsidRPr="001A22C5">
        <w:rPr>
          <w:vertAlign w:val="superscript"/>
        </w:rPr>
        <w:t>1</w:t>
      </w:r>
    </w:p>
    <w:p w14:paraId="5ACC668C" w14:textId="77777777" w:rsidR="00831E3D" w:rsidRDefault="00831E3D" w:rsidP="00831E3D"/>
    <w:p w14:paraId="4B955231" w14:textId="0D850F39" w:rsidR="001A22C5" w:rsidRDefault="001A22C5" w:rsidP="001A22C5">
      <w:pPr>
        <w:pStyle w:val="ListParagraph"/>
        <w:numPr>
          <w:ilvl w:val="0"/>
          <w:numId w:val="8"/>
        </w:numPr>
      </w:pPr>
      <w:r>
        <w:t>Department of Health Data Science, Liverpool University</w:t>
      </w:r>
    </w:p>
    <w:p w14:paraId="26269BC2" w14:textId="266F0E51" w:rsidR="001A22C5" w:rsidRPr="001A22C5" w:rsidRDefault="001A22C5" w:rsidP="001A22C5">
      <w:pPr>
        <w:pStyle w:val="ListParagraph"/>
        <w:numPr>
          <w:ilvl w:val="0"/>
          <w:numId w:val="8"/>
        </w:numPr>
      </w:pPr>
      <w:r>
        <w:t>University of Newcastle Upon Tyne</w:t>
      </w:r>
    </w:p>
    <w:p w14:paraId="47EA5C3E" w14:textId="77777777" w:rsidR="00831E3D" w:rsidRPr="001A22C5" w:rsidRDefault="00831E3D" w:rsidP="00831E3D"/>
    <w:p w14:paraId="23492F00" w14:textId="44A5B05C" w:rsidR="001A22C5" w:rsidRDefault="001A22C5"/>
    <w:p w14:paraId="6FC6D0FA" w14:textId="77777777" w:rsidR="001A22C5" w:rsidRDefault="001A22C5">
      <w:pPr>
        <w:rPr>
          <w:rFonts w:asciiTheme="majorHAnsi" w:eastAsiaTheme="majorEastAsia" w:hAnsiTheme="majorHAnsi" w:cstheme="majorBidi"/>
          <w:color w:val="0F4761" w:themeColor="accent1" w:themeShade="BF"/>
          <w:sz w:val="40"/>
          <w:szCs w:val="40"/>
        </w:rPr>
      </w:pPr>
      <w:r>
        <w:br w:type="page"/>
      </w:r>
    </w:p>
    <w:p w14:paraId="5C2154D1" w14:textId="236B8B2C" w:rsidR="00831E3D" w:rsidRPr="001A22C5" w:rsidRDefault="00831E3D" w:rsidP="001A22C5">
      <w:pPr>
        <w:pStyle w:val="Heading1"/>
      </w:pPr>
      <w:r w:rsidRPr="001A22C5">
        <w:lastRenderedPageBreak/>
        <w:t>Introduction</w:t>
      </w:r>
    </w:p>
    <w:p w14:paraId="44850C44" w14:textId="77777777" w:rsidR="00486A83" w:rsidRPr="001A22C5" w:rsidRDefault="00486A83" w:rsidP="00831E3D"/>
    <w:p w14:paraId="086E8C02" w14:textId="45D9069E" w:rsidR="00831E3D" w:rsidRDefault="009004A0" w:rsidP="00980F25">
      <w:r>
        <w:t>Randomised Controlled Trials (RCTs)</w:t>
      </w:r>
      <w:r w:rsidR="0067527C">
        <w:t xml:space="preserve"> the gold standard of clinical research due to their ability to provide reliable causal estimates of a </w:t>
      </w:r>
      <w:proofErr w:type="gramStart"/>
      <w:r w:rsidR="0067527C">
        <w:t>treatments</w:t>
      </w:r>
      <w:proofErr w:type="gramEnd"/>
      <w:r w:rsidR="0067527C">
        <w:t xml:space="preserve"> efficacy against some control.</w:t>
      </w:r>
      <w:r>
        <w:t xml:space="preserve">  Their quality comes at a cost however with large numbers of patients, and consequently time and money, required.</w:t>
      </w:r>
    </w:p>
    <w:p w14:paraId="5DFEF971" w14:textId="77777777" w:rsidR="0067527C" w:rsidRDefault="0067527C" w:rsidP="0067527C"/>
    <w:p w14:paraId="19B45AF7" w14:textId="7E3200F0" w:rsidR="0067527C" w:rsidRDefault="0067527C" w:rsidP="0067527C">
      <w:r>
        <w:t xml:space="preserve">This problem is heightened in areas such as rare diseases or early phase trial design were resources are </w:t>
      </w:r>
      <w:r w:rsidR="009004A0">
        <w:t xml:space="preserve">often </w:t>
      </w:r>
      <w:r>
        <w:t xml:space="preserve">scarce.  Here the stringent rules of demonstrating efficacy are </w:t>
      </w:r>
      <w:r w:rsidR="009004A0">
        <w:t xml:space="preserve">often </w:t>
      </w:r>
      <w:r>
        <w:t xml:space="preserve">relaxed, either by design or necessity.  </w:t>
      </w:r>
    </w:p>
    <w:p w14:paraId="586E9FC6" w14:textId="77777777" w:rsidR="0067527C" w:rsidRDefault="0067527C" w:rsidP="0067527C"/>
    <w:p w14:paraId="04E07303" w14:textId="30635E27" w:rsidR="0067527C" w:rsidRDefault="0067527C" w:rsidP="0067527C">
      <w:r>
        <w:t>With the exception perhaps of phase 1, the aim at the onset of any trial is to obtain a causal estimate of the effect of an experimental treatment</w:t>
      </w:r>
      <w:r w:rsidR="00833B39">
        <w:t xml:space="preserve"> against some standard of care</w:t>
      </w:r>
      <w:r>
        <w:t>.</w:t>
      </w:r>
      <w:r w:rsidR="009004A0">
        <w:t xml:space="preserve">  Often in these settings single arm trials are used but without a comparator it is difficult to provide any reliable estimate of efficacy.</w:t>
      </w:r>
    </w:p>
    <w:p w14:paraId="714F0EE8" w14:textId="558BA2C9" w:rsidR="0067527C" w:rsidRDefault="0067527C" w:rsidP="00831E3D"/>
    <w:p w14:paraId="557E80E2" w14:textId="7B0D7746" w:rsidR="0067527C" w:rsidRDefault="009004A0" w:rsidP="00831E3D">
      <w:r>
        <w:t>RCTs are conducted from a position of enforced ignorance</w:t>
      </w:r>
      <w:r w:rsidR="00833B39">
        <w:t xml:space="preserve"> with the acceptance that all information of a treatment effect will be obtained from the trial data.   This is beneficial for internal consistency and providing a causal effect free of bias.  </w:t>
      </w:r>
      <w:proofErr w:type="gramStart"/>
      <w:r w:rsidR="00833B39">
        <w:t>However</w:t>
      </w:r>
      <w:proofErr w:type="gramEnd"/>
      <w:r w:rsidR="00833B39">
        <w:t xml:space="preserve"> it is naïve </w:t>
      </w:r>
      <w:r w:rsidR="0067527C">
        <w:t xml:space="preserve">to think no information </w:t>
      </w:r>
      <w:r w:rsidR="00833B39">
        <w:t xml:space="preserve">on the control arm </w:t>
      </w:r>
      <w:r w:rsidR="0067527C">
        <w:t>exists</w:t>
      </w:r>
      <w:r w:rsidR="00833B39">
        <w:t xml:space="preserve"> prior to the trial.  </w:t>
      </w:r>
      <w:proofErr w:type="gramStart"/>
      <w:r w:rsidR="00833B39">
        <w:t>Indeed</w:t>
      </w:r>
      <w:proofErr w:type="gramEnd"/>
      <w:r w:rsidR="00833B39">
        <w:t xml:space="preserve"> this information is often required for the study design.  What is more, this information is increasing through t</w:t>
      </w:r>
      <w:r w:rsidR="0067527C">
        <w:t>he availability of external</w:t>
      </w:r>
      <w:r w:rsidR="00833B39">
        <w:t xml:space="preserve"> registry/observational</w:t>
      </w:r>
      <w:r w:rsidR="0067527C">
        <w:t xml:space="preserve"> data</w:t>
      </w:r>
      <w:r w:rsidR="00833B39">
        <w:t xml:space="preserve"> and </w:t>
      </w:r>
      <w:r w:rsidR="0067527C">
        <w:t>previously conducted studies.</w:t>
      </w:r>
    </w:p>
    <w:p w14:paraId="29538A26" w14:textId="77777777" w:rsidR="001A22C5" w:rsidRPr="00980F25" w:rsidRDefault="001A22C5" w:rsidP="00980F25"/>
    <w:p w14:paraId="02BB08EE" w14:textId="6ED3818D" w:rsidR="00FE187C" w:rsidRPr="00980F25" w:rsidRDefault="00833B39" w:rsidP="00980F25">
      <w:pPr>
        <w:rPr>
          <w:rStyle w:val="apple-converted-space"/>
        </w:rPr>
      </w:pPr>
      <w:r w:rsidRPr="00980F25">
        <w:t xml:space="preserve">The aim of supplementing prospective trials with external information has </w:t>
      </w:r>
      <w:r w:rsidR="00DF564B" w:rsidRPr="00980F25">
        <w:t>long be</w:t>
      </w:r>
      <w:r w:rsidR="00403E29" w:rsidRPr="00980F25">
        <w:t>e</w:t>
      </w:r>
      <w:r w:rsidR="00DF564B" w:rsidRPr="00980F25">
        <w:t xml:space="preserve">n explored.  </w:t>
      </w:r>
      <w:r w:rsidR="00FE187C" w:rsidRPr="00980F25">
        <w:t>Pocock [1] first discussed the use of historically controlled trials where single arm data are compared against external information.</w:t>
      </w:r>
      <w:r w:rsidR="00403E29" w:rsidRPr="00980F25">
        <w:t xml:space="preserve">  This application </w:t>
      </w:r>
      <w:r w:rsidR="00FE187C" w:rsidRPr="00980F25">
        <w:t xml:space="preserve">fits naturally within the Bayesian framework where the prospective data are used to update prior beliefs. </w:t>
      </w:r>
      <w:r w:rsidR="00403E29" w:rsidRPr="00980F25">
        <w:t xml:space="preserve"> </w:t>
      </w:r>
      <w:r w:rsidR="00FE187C" w:rsidRPr="00980F25">
        <w:t xml:space="preserve">More </w:t>
      </w:r>
      <w:r w:rsidR="00FE187C" w:rsidRPr="00980F25">
        <w:rPr>
          <w:rStyle w:val="apple-converted-space"/>
        </w:rPr>
        <w:t>recently Neuenschwander et al [</w:t>
      </w:r>
      <w:r w:rsidR="00403E29" w:rsidRPr="00980F25">
        <w:rPr>
          <w:rStyle w:val="apple-converted-space"/>
        </w:rPr>
        <w:t>2</w:t>
      </w:r>
      <w:r w:rsidR="00FE187C" w:rsidRPr="00980F25">
        <w:rPr>
          <w:rStyle w:val="apple-converted-space"/>
        </w:rPr>
        <w:t>] have explored approached to including histori</w:t>
      </w:r>
      <w:r w:rsidR="00A4320E" w:rsidRPr="00980F25">
        <w:rPr>
          <w:rStyle w:val="apple-converted-space"/>
        </w:rPr>
        <w:t>c</w:t>
      </w:r>
      <w:r w:rsidR="00FE187C" w:rsidRPr="00980F25">
        <w:rPr>
          <w:rStyle w:val="apple-converted-space"/>
        </w:rPr>
        <w:t>al information on control arms in clinical trials.</w:t>
      </w:r>
    </w:p>
    <w:p w14:paraId="207AC090" w14:textId="77777777" w:rsidR="00965173" w:rsidRPr="00980F25" w:rsidRDefault="00965173" w:rsidP="00980F25">
      <w:pPr>
        <w:rPr>
          <w:rStyle w:val="apple-converted-space"/>
        </w:rPr>
      </w:pPr>
    </w:p>
    <w:p w14:paraId="6249F658" w14:textId="26140246" w:rsidR="00ED2A17" w:rsidRPr="00980F25" w:rsidRDefault="00980F25" w:rsidP="00980F25">
      <w:pPr>
        <w:rPr>
          <w:rStyle w:val="apple-converted-space"/>
        </w:rPr>
      </w:pPr>
      <w:r w:rsidRPr="00980F25">
        <w:rPr>
          <w:rStyle w:val="apple-converted-space"/>
        </w:rPr>
        <w:t>T</w:t>
      </w:r>
      <w:r w:rsidR="00403E29" w:rsidRPr="00980F25">
        <w:rPr>
          <w:rStyle w:val="apple-converted-space"/>
        </w:rPr>
        <w:t xml:space="preserve">he </w:t>
      </w:r>
      <w:r w:rsidRPr="00980F25">
        <w:rPr>
          <w:rStyle w:val="apple-converted-space"/>
        </w:rPr>
        <w:t>increasing potential for</w:t>
      </w:r>
      <w:r w:rsidR="00403E29" w:rsidRPr="00980F25">
        <w:rPr>
          <w:rStyle w:val="apple-converted-space"/>
        </w:rPr>
        <w:t xml:space="preserve"> externally controlled </w:t>
      </w:r>
      <w:r w:rsidRPr="00980F25">
        <w:rPr>
          <w:rStyle w:val="apple-converted-space"/>
        </w:rPr>
        <w:t xml:space="preserve">trials has </w:t>
      </w:r>
      <w:proofErr w:type="spellStart"/>
      <w:r w:rsidRPr="00980F25">
        <w:rPr>
          <w:rStyle w:val="apple-converted-space"/>
        </w:rPr>
        <w:t>lead</w:t>
      </w:r>
      <w:proofErr w:type="spellEnd"/>
      <w:r w:rsidRPr="00980F25">
        <w:rPr>
          <w:rStyle w:val="apple-converted-space"/>
        </w:rPr>
        <w:t xml:space="preserve"> to guidance from regulatory bodies [3]</w:t>
      </w:r>
      <w:r>
        <w:rPr>
          <w:rStyle w:val="apple-converted-space"/>
        </w:rPr>
        <w:t xml:space="preserve"> a</w:t>
      </w:r>
      <w:r w:rsidRPr="00980F25">
        <w:rPr>
          <w:rStyle w:val="apple-converted-space"/>
        </w:rPr>
        <w:t>nd increasing discussion as to their appropriate use and application[</w:t>
      </w:r>
      <w:r w:rsidR="00ED2A17" w:rsidRPr="00980F25">
        <w:rPr>
          <w:rStyle w:val="apple-converted-space"/>
        </w:rPr>
        <w:t xml:space="preserve"> guidance for their use in clinical research [</w:t>
      </w:r>
      <w:r w:rsidRPr="00980F25">
        <w:rPr>
          <w:rStyle w:val="apple-converted-space"/>
        </w:rPr>
        <w:t>4</w:t>
      </w:r>
      <w:r w:rsidR="002651EE">
        <w:rPr>
          <w:rStyle w:val="apple-converted-space"/>
        </w:rPr>
        <w:t>-8</w:t>
      </w:r>
      <w:r w:rsidR="00ED2A17" w:rsidRPr="00980F25">
        <w:rPr>
          <w:rStyle w:val="apple-converted-space"/>
        </w:rPr>
        <w:t>]</w:t>
      </w:r>
      <w:r w:rsidRPr="00980F25">
        <w:rPr>
          <w:rStyle w:val="apple-converted-space"/>
        </w:rPr>
        <w:t>.</w:t>
      </w:r>
      <w:r w:rsidR="009C4418">
        <w:rPr>
          <w:rStyle w:val="apple-converted-space"/>
        </w:rPr>
        <w:t xml:space="preserve">  In practice, growing examples of the use of digital twins [9</w:t>
      </w:r>
      <w:r w:rsidR="002651EE">
        <w:rPr>
          <w:rStyle w:val="apple-converted-space"/>
        </w:rPr>
        <w:t>,10</w:t>
      </w:r>
      <w:r w:rsidR="009C4418">
        <w:rPr>
          <w:rStyle w:val="apple-converted-space"/>
        </w:rPr>
        <w:t>]  and propensity score analyses [1</w:t>
      </w:r>
      <w:r w:rsidR="002651EE">
        <w:rPr>
          <w:rStyle w:val="apple-converted-space"/>
        </w:rPr>
        <w:t>1</w:t>
      </w:r>
      <w:r w:rsidR="009C4418">
        <w:rPr>
          <w:rStyle w:val="apple-converted-space"/>
        </w:rPr>
        <w:t>, 1</w:t>
      </w:r>
      <w:r w:rsidR="002651EE">
        <w:rPr>
          <w:rStyle w:val="apple-converted-space"/>
        </w:rPr>
        <w:t>2</w:t>
      </w:r>
      <w:r w:rsidR="009C4418">
        <w:rPr>
          <w:rStyle w:val="apple-converted-space"/>
        </w:rPr>
        <w:t>] have been used as for causal inference in place of randomisation.</w:t>
      </w:r>
    </w:p>
    <w:p w14:paraId="104B11ED" w14:textId="77777777" w:rsidR="00980F25" w:rsidRPr="005D0839" w:rsidRDefault="00980F25" w:rsidP="00831E3D"/>
    <w:p w14:paraId="471B750E" w14:textId="60EBD75F" w:rsidR="00A4320E" w:rsidRPr="005D0839" w:rsidRDefault="009C4418" w:rsidP="002651EE">
      <w:pPr>
        <w:rPr>
          <w:lang w:eastAsia="en-GB"/>
        </w:rPr>
      </w:pPr>
      <w:r w:rsidRPr="005D0839">
        <w:rPr>
          <w:lang w:eastAsia="en-GB"/>
        </w:rPr>
        <w:t xml:space="preserve">Here we propose the use of synthetic controls as a </w:t>
      </w:r>
      <w:proofErr w:type="gramStart"/>
      <w:r w:rsidRPr="005D0839">
        <w:rPr>
          <w:lang w:eastAsia="en-GB"/>
        </w:rPr>
        <w:t>causal inference tools</w:t>
      </w:r>
      <w:proofErr w:type="gramEnd"/>
      <w:r w:rsidRPr="005D0839">
        <w:rPr>
          <w:lang w:eastAsia="en-GB"/>
        </w:rPr>
        <w:t xml:space="preserve"> for novel prospective clinical trials.</w:t>
      </w:r>
      <w:r w:rsidR="005D0839">
        <w:rPr>
          <w:lang w:eastAsia="en-GB"/>
        </w:rPr>
        <w:t xml:space="preserve">  </w:t>
      </w:r>
      <w:r w:rsidR="00A4320E">
        <w:rPr>
          <w:lang w:eastAsia="en-GB"/>
        </w:rPr>
        <w:t xml:space="preserve">Synthetic Controls are a form of Causal Inference first proposed by Abadie </w:t>
      </w:r>
      <w:r w:rsidR="00965173">
        <w:rPr>
          <w:lang w:eastAsia="en-GB"/>
        </w:rPr>
        <w:t>[</w:t>
      </w:r>
      <w:r w:rsidR="005D0839">
        <w:rPr>
          <w:lang w:eastAsia="en-GB"/>
        </w:rPr>
        <w:t>1</w:t>
      </w:r>
      <w:r w:rsidR="002651EE">
        <w:rPr>
          <w:lang w:eastAsia="en-GB"/>
        </w:rPr>
        <w:t>3</w:t>
      </w:r>
      <w:r w:rsidR="005D0839">
        <w:rPr>
          <w:lang w:eastAsia="en-GB"/>
        </w:rPr>
        <w:t>,1</w:t>
      </w:r>
      <w:r w:rsidR="002651EE">
        <w:rPr>
          <w:lang w:eastAsia="en-GB"/>
        </w:rPr>
        <w:t>4</w:t>
      </w:r>
      <w:r w:rsidR="00965173">
        <w:rPr>
          <w:lang w:eastAsia="en-GB"/>
        </w:rPr>
        <w:t xml:space="preserve">] </w:t>
      </w:r>
      <w:r w:rsidR="00A4320E">
        <w:rPr>
          <w:lang w:eastAsia="en-GB"/>
        </w:rPr>
        <w:t xml:space="preserve">whereby </w:t>
      </w:r>
      <w:r w:rsidR="00965173">
        <w:rPr>
          <w:lang w:eastAsia="en-GB"/>
        </w:rPr>
        <w:t xml:space="preserve">the impact of some control can be generated from information.  Here the synthetic control population is weighted to mirror the characteristics of the experimental group to facilitate a causal statement. </w:t>
      </w:r>
      <w:r w:rsidR="00A4320E">
        <w:rPr>
          <w:lang w:eastAsia="en-GB"/>
        </w:rPr>
        <w:t>Details on how they should be used in healthcare research have been given by Thorland [</w:t>
      </w:r>
      <w:r w:rsidR="005D0839">
        <w:rPr>
          <w:lang w:eastAsia="en-GB"/>
        </w:rPr>
        <w:t>1</w:t>
      </w:r>
      <w:r w:rsidR="002651EE">
        <w:rPr>
          <w:lang w:eastAsia="en-GB"/>
        </w:rPr>
        <w:t>5</w:t>
      </w:r>
      <w:r w:rsidR="00A4320E">
        <w:rPr>
          <w:lang w:eastAsia="en-GB"/>
        </w:rPr>
        <w:t>]</w:t>
      </w:r>
      <w:r w:rsidR="005D0839">
        <w:rPr>
          <w:lang w:eastAsia="en-GB"/>
        </w:rPr>
        <w:t xml:space="preserve"> and</w:t>
      </w:r>
      <w:r w:rsidR="00965173">
        <w:rPr>
          <w:lang w:eastAsia="en-GB"/>
        </w:rPr>
        <w:t xml:space="preserve"> they have </w:t>
      </w:r>
      <w:r w:rsidR="005D0839">
        <w:rPr>
          <w:lang w:eastAsia="en-GB"/>
        </w:rPr>
        <w:t>begun to be used as casual inference tools in areas such as cancer research</w:t>
      </w:r>
      <w:r w:rsidR="00965173">
        <w:rPr>
          <w:lang w:eastAsia="en-GB"/>
        </w:rPr>
        <w:t xml:space="preserve"> [</w:t>
      </w:r>
      <w:r w:rsidR="005D0839">
        <w:rPr>
          <w:lang w:eastAsia="en-GB"/>
        </w:rPr>
        <w:t>1</w:t>
      </w:r>
      <w:r w:rsidR="002651EE">
        <w:rPr>
          <w:lang w:eastAsia="en-GB"/>
        </w:rPr>
        <w:t>6</w:t>
      </w:r>
      <w:r w:rsidR="00965173">
        <w:rPr>
          <w:lang w:eastAsia="en-GB"/>
        </w:rPr>
        <w:t>]</w:t>
      </w:r>
      <w:r w:rsidR="005D0839">
        <w:rPr>
          <w:lang w:eastAsia="en-GB"/>
        </w:rPr>
        <w:t>.</w:t>
      </w:r>
    </w:p>
    <w:p w14:paraId="0DEFCBF6" w14:textId="77777777" w:rsidR="00A4320E" w:rsidRDefault="00A4320E" w:rsidP="002651EE">
      <w:pPr>
        <w:rPr>
          <w:lang w:eastAsia="en-GB"/>
        </w:rPr>
      </w:pPr>
    </w:p>
    <w:p w14:paraId="2A24D4BC" w14:textId="02A8CFEB" w:rsidR="00403E29" w:rsidRDefault="005D0839" w:rsidP="002651EE">
      <w:pPr>
        <w:rPr>
          <w:lang w:eastAsia="en-GB"/>
        </w:rPr>
      </w:pPr>
      <w:r>
        <w:rPr>
          <w:lang w:eastAsia="en-GB"/>
        </w:rPr>
        <w:lastRenderedPageBreak/>
        <w:t>R</w:t>
      </w:r>
      <w:r w:rsidR="00A4320E">
        <w:rPr>
          <w:lang w:eastAsia="en-GB"/>
        </w:rPr>
        <w:t xml:space="preserve">ecently Jackson et al. </w:t>
      </w:r>
      <w:r w:rsidR="002651EE">
        <w:rPr>
          <w:lang w:eastAsia="en-GB"/>
        </w:rPr>
        <w:t xml:space="preserve">[17] </w:t>
      </w:r>
      <w:r>
        <w:rPr>
          <w:lang w:eastAsia="en-GB"/>
        </w:rPr>
        <w:t>introduced the use of parametric models as a form of personalised synthetic controls</w:t>
      </w:r>
      <w:r w:rsidR="002651EE">
        <w:rPr>
          <w:lang w:eastAsia="en-GB"/>
        </w:rPr>
        <w:t xml:space="preserve">.  Here predictions from some parametric model provide counter factual evidence against which observed outcomes can be compared. </w:t>
      </w:r>
      <w:r w:rsidR="00403E29">
        <w:rPr>
          <w:lang w:eastAsia="en-GB"/>
        </w:rPr>
        <w:t xml:space="preserve">The use and evaluation of counter factual models </w:t>
      </w:r>
      <w:proofErr w:type="gramStart"/>
      <w:r w:rsidR="00403E29">
        <w:rPr>
          <w:lang w:eastAsia="en-GB"/>
        </w:rPr>
        <w:t>has</w:t>
      </w:r>
      <w:proofErr w:type="gramEnd"/>
      <w:r w:rsidR="00403E29">
        <w:rPr>
          <w:lang w:eastAsia="en-GB"/>
        </w:rPr>
        <w:t xml:space="preserve"> been further explored by Boyer et al. [</w:t>
      </w:r>
      <w:r w:rsidR="002651EE">
        <w:rPr>
          <w:lang w:eastAsia="en-GB"/>
        </w:rPr>
        <w:t>18</w:t>
      </w:r>
      <w:r w:rsidR="00403E29">
        <w:rPr>
          <w:lang w:eastAsia="en-GB"/>
        </w:rPr>
        <w:t>].</w:t>
      </w:r>
    </w:p>
    <w:p w14:paraId="48CB823E" w14:textId="77777777" w:rsidR="002651EE" w:rsidRDefault="002651EE" w:rsidP="002651EE">
      <w:pPr>
        <w:rPr>
          <w:lang w:eastAsia="en-GB"/>
        </w:rPr>
      </w:pPr>
    </w:p>
    <w:p w14:paraId="4951FEE2" w14:textId="6C258301" w:rsidR="002651EE" w:rsidRDefault="002651EE" w:rsidP="002651EE">
      <w:r>
        <w:t xml:space="preserve">Synthetic Controls form a natural basis for incorporating external evidence into </w:t>
      </w:r>
      <w:r w:rsidR="001C5E94">
        <w:t xml:space="preserve">prospective clinical </w:t>
      </w:r>
      <w:proofErr w:type="gramStart"/>
      <w:r w:rsidR="001C5E94">
        <w:t>trials</w:t>
      </w:r>
      <w:proofErr w:type="gramEnd"/>
      <w:r w:rsidR="001C5E94">
        <w:t xml:space="preserve"> but their application remains challenging. </w:t>
      </w:r>
      <w:r>
        <w:t xml:space="preserve">Following the recommendation of </w:t>
      </w:r>
      <w:proofErr w:type="spellStart"/>
      <w:r>
        <w:t>Cucherat</w:t>
      </w:r>
      <w:proofErr w:type="spellEnd"/>
      <w:r>
        <w:t xml:space="preserve"> et al [ 19] </w:t>
      </w:r>
      <w:r w:rsidR="001C5E94">
        <w:t xml:space="preserve">here </w:t>
      </w:r>
      <w:r>
        <w:t>we explore the use of Synthetic controls as a tool for prospective trial design</w:t>
      </w:r>
      <w:r w:rsidR="001C5E94">
        <w:t>, consider the</w:t>
      </w:r>
      <w:r>
        <w:t xml:space="preserve"> practical and methodological issues in the prospective design </w:t>
      </w:r>
      <w:r w:rsidR="001C5E94">
        <w:t>and provide software to aid the design of future clinical trials.</w:t>
      </w:r>
    </w:p>
    <w:p w14:paraId="37E995C1" w14:textId="77777777" w:rsidR="001C5E94" w:rsidRDefault="001C5E94" w:rsidP="002651EE"/>
    <w:p w14:paraId="312B2E81" w14:textId="37F69AE3" w:rsidR="001C5E94" w:rsidRDefault="001C5E94" w:rsidP="002651EE">
      <w:r>
        <w:t>The manuscript is order</w:t>
      </w:r>
      <w:r w:rsidR="0038113C">
        <w:t>e</w:t>
      </w:r>
      <w:r>
        <w:t xml:space="preserve">d as follows; Section 2 discusses the analysis of a synthetically controlled trial and defines the Causal Estimand,  Section 3 discussed the potential of fully synthetic (single) arm studies against partially synthetic (randomised) designs.  An example of a Synthetically Controlled Trial in HCC is provided in Section </w:t>
      </w:r>
      <w:proofErr w:type="gramStart"/>
      <w:r>
        <w:t>4</w:t>
      </w:r>
      <w:proofErr w:type="gramEnd"/>
      <w:r>
        <w:t xml:space="preserve"> and a simulation study </w:t>
      </w:r>
      <w:r w:rsidR="0038113C">
        <w:t>is provided in Section 5.  Section 6 outlines the considerations that should be made by investigators considering a synthetically controlled trial and some discussion is given in Section 7.</w:t>
      </w:r>
    </w:p>
    <w:p w14:paraId="224EEFCB" w14:textId="77777777" w:rsidR="002651EE" w:rsidRPr="00FE187C" w:rsidRDefault="002651EE" w:rsidP="002651EE">
      <w:pPr>
        <w:rPr>
          <w:lang w:eastAsia="en-GB"/>
        </w:rPr>
      </w:pPr>
    </w:p>
    <w:p w14:paraId="2296C826" w14:textId="77777777" w:rsidR="00FE187C" w:rsidRDefault="00FE187C" w:rsidP="00831E3D"/>
    <w:p w14:paraId="52C7A11D" w14:textId="77777777" w:rsidR="009C4418" w:rsidRDefault="009C4418" w:rsidP="00831E3D"/>
    <w:p w14:paraId="7217BD1C" w14:textId="77777777" w:rsidR="00FE187C" w:rsidRDefault="00FE187C" w:rsidP="00831E3D"/>
    <w:p w14:paraId="7A7BD997" w14:textId="77777777" w:rsidR="00DF564B" w:rsidRDefault="00DF564B" w:rsidP="00831E3D"/>
    <w:p w14:paraId="42FC0E79" w14:textId="25A04CC0" w:rsidR="001A22C5" w:rsidRPr="001A22C5" w:rsidRDefault="001A22C5"/>
    <w:p w14:paraId="6E38D76E" w14:textId="77777777" w:rsidR="00F36B39" w:rsidRDefault="00F36B39">
      <w:pPr>
        <w:rPr>
          <w:rFonts w:asciiTheme="majorHAnsi" w:eastAsiaTheme="majorEastAsia" w:hAnsiTheme="majorHAnsi" w:cstheme="majorBidi"/>
          <w:color w:val="0F4761" w:themeColor="accent1" w:themeShade="BF"/>
          <w:sz w:val="40"/>
          <w:szCs w:val="40"/>
        </w:rPr>
      </w:pPr>
      <w:r>
        <w:br w:type="page"/>
      </w:r>
    </w:p>
    <w:p w14:paraId="0DE41DD5" w14:textId="48D3538B" w:rsidR="00831E3D" w:rsidRDefault="00831E3D" w:rsidP="0038113C">
      <w:pPr>
        <w:pStyle w:val="Heading1"/>
      </w:pPr>
      <w:r w:rsidRPr="001A22C5">
        <w:lastRenderedPageBreak/>
        <w:t>Methods</w:t>
      </w:r>
    </w:p>
    <w:p w14:paraId="3ED22056" w14:textId="19E7A23E" w:rsidR="00F36B39" w:rsidRDefault="00F36B39" w:rsidP="00F36B39"/>
    <w:p w14:paraId="69ED0EDC" w14:textId="4BD81A8A" w:rsidR="00F36B39" w:rsidRDefault="00F36B39" w:rsidP="00F36B39">
      <w:r>
        <w:t>Consider the design of an early phase study with the aim of estimating the comparative efficacy of some experimental treatment against some standard of care.   Define data in form of patient outcomes Y and covariates X.  We use a potential outcomes notation and define Y(0) as the outcome for the standard of care and Y(1) as the outcome for the experimental treatment.</w:t>
      </w:r>
    </w:p>
    <w:p w14:paraId="00D1C2A0" w14:textId="77777777" w:rsidR="00F36B39" w:rsidRDefault="00F36B39" w:rsidP="00F36B39"/>
    <w:p w14:paraId="4208960F" w14:textId="1A8D292C" w:rsidR="00F36B39" w:rsidRDefault="00562FA2" w:rsidP="00F36B39">
      <w:r>
        <w:t xml:space="preserve">At an individual level we define the target efficacy parameter as </w:t>
      </w:r>
    </w:p>
    <w:p w14:paraId="6DC46C29" w14:textId="77777777" w:rsidR="00F36B39" w:rsidRDefault="00F36B39" w:rsidP="00F36B39"/>
    <w:p w14:paraId="78F2DDBE" w14:textId="770E43E1" w:rsidR="00562FA2" w:rsidRPr="002F7294" w:rsidRDefault="00562FA2" w:rsidP="00F36B39">
      <w:pPr>
        <w:rPr>
          <w:rFonts w:eastAsiaTheme="minorEastAsia"/>
        </w:rPr>
      </w:pPr>
      <m:oMathPara>
        <m:oMath>
          <m:sSub>
            <m:sSubPr>
              <m:ctrlPr>
                <w:rPr>
                  <w:rFonts w:ascii="Cambria Math" w:hAnsi="Cambria Math"/>
                  <w:i/>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d>
            <m:dPr>
              <m:ctrlPr>
                <w:rPr>
                  <w:rFonts w:ascii="Cambria Math" w:hAnsi="Cambria Math"/>
                  <w:i/>
                </w:rPr>
              </m:ctrlPr>
            </m:dPr>
            <m:e>
              <m:r>
                <w:rPr>
                  <w:rFonts w:ascii="Cambria Math" w:hAnsi="Cambria Math"/>
                </w:rPr>
                <m:t>1</m:t>
              </m:r>
            </m:e>
          </m:d>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r>
            <w:rPr>
              <w:rFonts w:ascii="Cambria Math" w:hAnsi="Cambria Math"/>
            </w:rPr>
            <m:t>0</m:t>
          </m:r>
          <m:r>
            <w:rPr>
              <w:rFonts w:ascii="Cambria Math" w:hAnsi="Cambria Math"/>
            </w:rPr>
            <m:t>)</m:t>
          </m:r>
        </m:oMath>
      </m:oMathPara>
    </w:p>
    <w:p w14:paraId="30ABC4B4" w14:textId="77777777" w:rsidR="002F7294" w:rsidRDefault="002F7294" w:rsidP="00F36B39">
      <w:pPr>
        <w:rPr>
          <w:rFonts w:eastAsiaTheme="minorEastAsia"/>
        </w:rPr>
      </w:pPr>
    </w:p>
    <w:p w14:paraId="4B56E0BB" w14:textId="77777777" w:rsidR="005E7BD8" w:rsidRDefault="002F7294" w:rsidP="00F36B39">
      <w:pPr>
        <w:rPr>
          <w:rFonts w:eastAsiaTheme="minorEastAsia"/>
        </w:rPr>
      </w:pPr>
      <w:r>
        <w:rPr>
          <w:rFonts w:eastAsiaTheme="minorEastAsia"/>
        </w:rPr>
        <w:t xml:space="preserve">Here inference requires observation of patient outcomes under both experimental conditions which is not possible.  Inference then depends on the Average Treatment </w:t>
      </w:r>
    </w:p>
    <w:p w14:paraId="160DE400" w14:textId="77777777" w:rsidR="005E7BD8" w:rsidRDefault="002F7294" w:rsidP="00F36B39">
      <w:pPr>
        <w:rPr>
          <w:rFonts w:eastAsiaTheme="minorEastAsia"/>
        </w:rPr>
      </w:pPr>
      <w:r>
        <w:rPr>
          <w:rFonts w:eastAsiaTheme="minorEastAsia"/>
        </w:rPr>
        <w:t>Effect (ATE)</w:t>
      </w:r>
      <w:r w:rsidR="005E7BD8">
        <w:rPr>
          <w:rFonts w:eastAsiaTheme="minorEastAsia"/>
        </w:rPr>
        <w:t xml:space="preserve"> </w:t>
      </w:r>
    </w:p>
    <w:p w14:paraId="015EAFEB" w14:textId="77777777" w:rsidR="005E7BD8" w:rsidRDefault="005E7BD8" w:rsidP="00F36B39">
      <w:pPr>
        <w:rPr>
          <w:rFonts w:eastAsiaTheme="minorEastAsia"/>
        </w:rPr>
      </w:pPr>
    </w:p>
    <w:p w14:paraId="3CDE2BF3" w14:textId="1F6827B9" w:rsidR="005E7BD8" w:rsidRPr="002F7294" w:rsidRDefault="005E7BD8" w:rsidP="005E7BD8">
      <w:pPr>
        <w:rPr>
          <w:rFonts w:eastAsiaTheme="minorEastAsia"/>
        </w:rPr>
      </w:pPr>
      <m:oMathPara>
        <m:oMath>
          <m:r>
            <w:rPr>
              <w:rFonts w:ascii="Cambria Math" w:hAnsi="Cambria Math"/>
            </w:rPr>
            <m:t>ATE=E[Y</m:t>
          </m:r>
          <m:d>
            <m:dPr>
              <m:ctrlPr>
                <w:rPr>
                  <w:rFonts w:ascii="Cambria Math" w:hAnsi="Cambria Math"/>
                  <w:i/>
                </w:rPr>
              </m:ctrlPr>
            </m:dPr>
            <m:e>
              <m:r>
                <w:rPr>
                  <w:rFonts w:ascii="Cambria Math" w:hAnsi="Cambria Math"/>
                </w:rPr>
                <m:t>1</m:t>
              </m:r>
            </m:e>
          </m:d>
          <m:r>
            <w:rPr>
              <w:rFonts w:ascii="Cambria Math" w:hAnsi="Cambria Math"/>
            </w:rPr>
            <m:t>]- E[Y</m:t>
          </m:r>
          <m:d>
            <m:dPr>
              <m:ctrlPr>
                <w:rPr>
                  <w:rFonts w:ascii="Cambria Math" w:hAnsi="Cambria Math"/>
                  <w:i/>
                </w:rPr>
              </m:ctrlPr>
            </m:dPr>
            <m:e>
              <m:r>
                <w:rPr>
                  <w:rFonts w:ascii="Cambria Math" w:hAnsi="Cambria Math"/>
                </w:rPr>
                <m:t>0</m:t>
              </m:r>
            </m:e>
          </m:d>
          <m:r>
            <w:rPr>
              <w:rFonts w:ascii="Cambria Math" w:hAnsi="Cambria Math"/>
            </w:rPr>
            <m:t>]</m:t>
          </m:r>
        </m:oMath>
      </m:oMathPara>
    </w:p>
    <w:p w14:paraId="20DC420A" w14:textId="77777777" w:rsidR="005E7BD8" w:rsidRDefault="005E7BD8" w:rsidP="00F36B39">
      <w:pPr>
        <w:rPr>
          <w:rFonts w:eastAsiaTheme="minorEastAsia"/>
        </w:rPr>
      </w:pPr>
    </w:p>
    <w:p w14:paraId="0DDFA032" w14:textId="155CCA9B" w:rsidR="00F36B39" w:rsidRDefault="005E7BD8" w:rsidP="00F36B39">
      <w:r>
        <w:rPr>
          <w:rFonts w:eastAsiaTheme="minorEastAsia"/>
        </w:rPr>
        <w:t xml:space="preserve">Where the outcome will </w:t>
      </w:r>
      <w:proofErr w:type="spellStart"/>
      <w:r>
        <w:rPr>
          <w:rFonts w:eastAsiaTheme="minorEastAsia"/>
        </w:rPr>
        <w:t>expliclty</w:t>
      </w:r>
      <w:proofErr w:type="spellEnd"/>
      <w:r>
        <w:rPr>
          <w:rFonts w:eastAsiaTheme="minorEastAsia"/>
        </w:rPr>
        <w:t xml:space="preserve"> depends on patient characteristic as well as treatment effects we focus on the Conditional Average Treatment Effect (CATE).</w:t>
      </w:r>
    </w:p>
    <w:p w14:paraId="4431184B" w14:textId="77777777" w:rsidR="002F7294" w:rsidRDefault="002F7294" w:rsidP="00F36B39"/>
    <w:p w14:paraId="6FCC748B" w14:textId="0463EDED" w:rsidR="002F7294" w:rsidRPr="002F7294" w:rsidRDefault="005E7BD8" w:rsidP="002F7294">
      <w:pPr>
        <w:rPr>
          <w:rFonts w:eastAsiaTheme="minorEastAsia"/>
        </w:rPr>
      </w:pPr>
      <m:oMathPara>
        <m:oMath>
          <m:r>
            <w:rPr>
              <w:rFonts w:ascii="Cambria Math" w:hAnsi="Cambria Math"/>
            </w:rPr>
            <m:t>C</m:t>
          </m:r>
          <m:r>
            <w:rPr>
              <w:rFonts w:ascii="Cambria Math" w:hAnsi="Cambria Math"/>
            </w:rPr>
            <m:t>ATE</m:t>
          </m:r>
          <m:r>
            <w:rPr>
              <w:rFonts w:ascii="Cambria Math" w:hAnsi="Cambria Math"/>
            </w:rPr>
            <m:t>=</m:t>
          </m:r>
          <m:r>
            <w:rPr>
              <w:rFonts w:ascii="Cambria Math" w:hAnsi="Cambria Math"/>
            </w:rPr>
            <m:t>E[Y</m:t>
          </m:r>
          <m:d>
            <m:dPr>
              <m:ctrlPr>
                <w:rPr>
                  <w:rFonts w:ascii="Cambria Math" w:hAnsi="Cambria Math"/>
                  <w:i/>
                </w:rPr>
              </m:ctrlPr>
            </m:dPr>
            <m:e>
              <m:r>
                <w:rPr>
                  <w:rFonts w:ascii="Cambria Math" w:hAnsi="Cambria Math"/>
                </w:rPr>
                <m:t>1</m:t>
              </m:r>
            </m:e>
          </m:d>
          <m:r>
            <w:rPr>
              <w:rFonts w:ascii="Cambria Math" w:hAnsi="Cambria Math"/>
            </w:rPr>
            <m:t>|X</m:t>
          </m:r>
          <m:r>
            <w:rPr>
              <w:rFonts w:ascii="Cambria Math" w:hAnsi="Cambria Math"/>
            </w:rPr>
            <m:t>]</m:t>
          </m:r>
          <m:r>
            <w:rPr>
              <w:rFonts w:ascii="Cambria Math" w:hAnsi="Cambria Math"/>
            </w:rPr>
            <m:t xml:space="preserve">- </m:t>
          </m:r>
          <m:r>
            <w:rPr>
              <w:rFonts w:ascii="Cambria Math" w:hAnsi="Cambria Math"/>
            </w:rPr>
            <m:t>E[Y</m:t>
          </m:r>
          <m:d>
            <m:dPr>
              <m:ctrlPr>
                <w:rPr>
                  <w:rFonts w:ascii="Cambria Math" w:hAnsi="Cambria Math"/>
                  <w:i/>
                </w:rPr>
              </m:ctrlPr>
            </m:dPr>
            <m:e>
              <m:r>
                <w:rPr>
                  <w:rFonts w:ascii="Cambria Math" w:hAnsi="Cambria Math"/>
                </w:rPr>
                <m:t>0</m:t>
              </m:r>
            </m:e>
          </m:d>
          <m:r>
            <w:rPr>
              <w:rFonts w:ascii="Cambria Math" w:hAnsi="Cambria Math"/>
            </w:rPr>
            <m:t>|X</m:t>
          </m:r>
          <m:r>
            <w:rPr>
              <w:rFonts w:ascii="Cambria Math" w:hAnsi="Cambria Math"/>
            </w:rPr>
            <m:t>]</m:t>
          </m:r>
        </m:oMath>
      </m:oMathPara>
    </w:p>
    <w:p w14:paraId="3A051391" w14:textId="77777777" w:rsidR="002F7294" w:rsidRDefault="002F7294" w:rsidP="00F36B39"/>
    <w:p w14:paraId="403F7C5A" w14:textId="4CDADBBB" w:rsidR="0034426B" w:rsidRDefault="002F7294" w:rsidP="00F36B39">
      <w:r>
        <w:t xml:space="preserve">To claim a causal effect there are assumptions of Exchangeability  and the Stable Unit Treatment Value Assumption (SUTVA).  </w:t>
      </w:r>
      <w:r w:rsidR="008D73C3">
        <w:t xml:space="preserve">  </w:t>
      </w:r>
      <w:r w:rsidR="005E7BD8">
        <w:t xml:space="preserve"> </w:t>
      </w:r>
      <w:r w:rsidR="008D73C3">
        <w:t>For prospective trial design, a</w:t>
      </w:r>
      <w:r w:rsidR="008D73C3">
        <w:t xml:space="preserve">ssume at the onset that information on the experimental arm is obtained from the trial but that information on the control arm exists prior to the conception of the study.  </w:t>
      </w:r>
      <w:r w:rsidR="008D73C3">
        <w:t xml:space="preserve"> </w:t>
      </w:r>
      <w:r w:rsidR="0034426B">
        <w:t>For synthetically controlled trials only the experimental treatments outcomes are observed and outcomes for the control group are estimated, we therefore amend to:</w:t>
      </w:r>
    </w:p>
    <w:p w14:paraId="41B6930C" w14:textId="73C3F94A" w:rsidR="00DC6AC4" w:rsidRDefault="00DC6AC4" w:rsidP="00F36B39">
      <w:r>
        <w:t xml:space="preserve"> </w:t>
      </w:r>
    </w:p>
    <w:p w14:paraId="2DC299FE" w14:textId="3E68C78B" w:rsidR="00DC6AC4" w:rsidRDefault="0034426B" w:rsidP="00F36B39">
      <m:oMathPara>
        <m:oMath>
          <m:r>
            <w:rPr>
              <w:rFonts w:ascii="Cambria Math" w:hAnsi="Cambria Math"/>
            </w:rPr>
            <m:t>ATE=E[Y</m:t>
          </m:r>
          <m:d>
            <m:dPr>
              <m:ctrlPr>
                <w:rPr>
                  <w:rFonts w:ascii="Cambria Math" w:hAnsi="Cambria Math"/>
                  <w:i/>
                </w:rPr>
              </m:ctrlPr>
            </m:dPr>
            <m:e>
              <m:r>
                <w:rPr>
                  <w:rFonts w:ascii="Cambria Math" w:hAnsi="Cambria Math"/>
                </w:rPr>
                <m:t>1</m:t>
              </m:r>
            </m:e>
          </m:d>
          <m:r>
            <w:rPr>
              <w:rFonts w:ascii="Cambria Math" w:hAnsi="Cambria Math"/>
            </w:rPr>
            <m:t>]- E[</m:t>
          </m:r>
          <m:acc>
            <m:accPr>
              <m:ctrlPr>
                <w:rPr>
                  <w:rFonts w:ascii="Cambria Math" w:hAnsi="Cambria Math"/>
                  <w:i/>
                </w:rPr>
              </m:ctrlPr>
            </m:accPr>
            <m:e>
              <m:r>
                <w:rPr>
                  <w:rFonts w:ascii="Cambria Math" w:hAnsi="Cambria Math"/>
                </w:rPr>
                <m:t>Y</m:t>
              </m:r>
              <m:d>
                <m:dPr>
                  <m:ctrlPr>
                    <w:rPr>
                      <w:rFonts w:ascii="Cambria Math" w:hAnsi="Cambria Math"/>
                      <w:i/>
                    </w:rPr>
                  </m:ctrlPr>
                </m:dPr>
                <m:e>
                  <m:r>
                    <w:rPr>
                      <w:rFonts w:ascii="Cambria Math" w:hAnsi="Cambria Math"/>
                    </w:rPr>
                    <m:t>0</m:t>
                  </m:r>
                </m:e>
              </m:d>
            </m:e>
          </m:acc>
          <m:r>
            <w:rPr>
              <w:rFonts w:ascii="Cambria Math" w:hAnsi="Cambria Math"/>
            </w:rPr>
            <m:t>]</m:t>
          </m:r>
        </m:oMath>
      </m:oMathPara>
    </w:p>
    <w:p w14:paraId="31618B57" w14:textId="77777777" w:rsidR="005E7BD8" w:rsidRDefault="005E7BD8" w:rsidP="00F36B39"/>
    <w:p w14:paraId="2B0FEC62" w14:textId="315CEF72" w:rsidR="00C503FB" w:rsidRDefault="008D73C3" w:rsidP="00F36B39">
      <w:r>
        <w:t>We explore two possibilities, population averaged and personalised synthetic controls.</w:t>
      </w:r>
      <w:r w:rsidR="00C503FB">
        <w:t xml:space="preserve"> </w:t>
      </w:r>
      <w:r w:rsidR="00DC6AC4">
        <w:t>Using population averages synthetic controls</w:t>
      </w:r>
      <w:r w:rsidR="00C503FB">
        <w:t>.  For both approaches we assume previous data in the form of baseline covariates X</w:t>
      </w:r>
      <w:r w:rsidR="000A675D" w:rsidRPr="000A675D">
        <w:rPr>
          <w:vertAlign w:val="subscript"/>
        </w:rPr>
        <w:t>SC</w:t>
      </w:r>
      <w:r w:rsidR="00C503FB">
        <w:t xml:space="preserve"> and outcomes Y</w:t>
      </w:r>
      <w:r w:rsidR="000A675D" w:rsidRPr="000A675D">
        <w:rPr>
          <w:vertAlign w:val="subscript"/>
        </w:rPr>
        <w:t>SC</w:t>
      </w:r>
      <w:r w:rsidR="00C503FB">
        <w:t>(0)</w:t>
      </w:r>
      <w:r w:rsidR="00556D18">
        <w:t>.</w:t>
      </w:r>
    </w:p>
    <w:p w14:paraId="2DE64099" w14:textId="77777777" w:rsidR="00C503FB" w:rsidRDefault="00C503FB" w:rsidP="00F36B39"/>
    <w:p w14:paraId="65A6133D" w14:textId="408A41EC" w:rsidR="00556D18" w:rsidRDefault="00556D18" w:rsidP="00F36B39">
      <w:r>
        <w:t>For population averages synthetic controls,</w:t>
      </w:r>
      <w:r w:rsidR="00C503FB">
        <w:t xml:space="preserve"> </w:t>
      </w:r>
      <w:r>
        <w:t>we generate an expect</w:t>
      </w:r>
      <w:r w:rsidR="000A675D">
        <w:t>e</w:t>
      </w:r>
      <w:r>
        <w:t>d outcome based on a convex set of weights such that</w:t>
      </w:r>
    </w:p>
    <w:p w14:paraId="52741145" w14:textId="77777777" w:rsidR="00556D18" w:rsidRDefault="00556D18" w:rsidP="00F36B39"/>
    <w:p w14:paraId="59B5D535" w14:textId="7EB210D5" w:rsidR="000A675D" w:rsidRDefault="00556D18" w:rsidP="00F36B39">
      <w:pPr>
        <w:rPr>
          <w:rFonts w:eastAsiaTheme="minorEastAsia"/>
        </w:rPr>
      </w:pPr>
      <m:oMathPara>
        <m:oMath>
          <m:r>
            <w:rPr>
              <w:rFonts w:ascii="Cambria Math" w:hAnsi="Cambria Math"/>
            </w:rPr>
            <m:t>E</m:t>
          </m:r>
          <m:d>
            <m:dPr>
              <m:begChr m:val="["/>
              <m:endChr m:val="]"/>
              <m:ctrlPr>
                <w:rPr>
                  <w:rFonts w:ascii="Cambria Math" w:hAnsi="Cambria Math"/>
                  <w:i/>
                </w:rPr>
              </m:ctrlPr>
            </m:dPr>
            <m:e>
              <m:acc>
                <m:accPr>
                  <m:ctrlPr>
                    <w:rPr>
                      <w:rFonts w:ascii="Cambria Math" w:hAnsi="Cambria Math"/>
                      <w:i/>
                    </w:rPr>
                  </m:ctrlPr>
                </m:accPr>
                <m:e>
                  <m:r>
                    <w:rPr>
                      <w:rFonts w:ascii="Cambria Math" w:hAnsi="Cambria Math"/>
                    </w:rPr>
                    <m:t>Y</m:t>
                  </m:r>
                  <m:d>
                    <m:dPr>
                      <m:ctrlPr>
                        <w:rPr>
                          <w:rFonts w:ascii="Cambria Math" w:hAnsi="Cambria Math"/>
                          <w:i/>
                        </w:rPr>
                      </m:ctrlPr>
                    </m:dPr>
                    <m:e>
                      <m:r>
                        <w:rPr>
                          <w:rFonts w:ascii="Cambria Math" w:hAnsi="Cambria Math"/>
                        </w:rPr>
                        <m:t>0</m:t>
                      </m:r>
                    </m:e>
                  </m:d>
                </m:e>
              </m:acc>
            </m:e>
          </m:d>
          <m:r>
            <w:rPr>
              <w:rFonts w:ascii="Cambria Math" w:hAnsi="Cambria Math"/>
            </w:rPr>
            <m:t xml:space="preserve">= </m:t>
          </m:r>
          <m:r>
            <w:rPr>
              <w:rFonts w:ascii="Cambria Math" w:eastAsiaTheme="minorEastAsia" w:hAnsi="Cambria Math"/>
            </w:rPr>
            <m:t>E[w</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SC</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oMath>
      </m:oMathPara>
    </w:p>
    <w:p w14:paraId="61783116" w14:textId="77777777" w:rsidR="000A675D" w:rsidRDefault="000A675D" w:rsidP="00F36B39">
      <w:pPr>
        <w:rPr>
          <w:rFonts w:eastAsiaTheme="minorEastAsia"/>
        </w:rPr>
      </w:pPr>
    </w:p>
    <w:p w14:paraId="6100D334" w14:textId="0AACE72A" w:rsidR="00954322" w:rsidRDefault="000A675D" w:rsidP="00F36B39">
      <w:pPr>
        <w:rPr>
          <w:rFonts w:eastAsiaTheme="minorEastAsia"/>
        </w:rPr>
      </w:pPr>
      <w:r>
        <w:rPr>
          <w:rFonts w:eastAsiaTheme="minorEastAsia"/>
        </w:rPr>
        <w:t>Where w is a vector of weights which are developed</w:t>
      </w:r>
      <w:r w:rsidR="00556D18">
        <w:rPr>
          <w:rFonts w:eastAsiaTheme="minorEastAsia"/>
        </w:rPr>
        <w:t xml:space="preserve"> </w:t>
      </w:r>
      <w:r>
        <w:rPr>
          <w:rFonts w:eastAsiaTheme="minorEastAsia"/>
        </w:rPr>
        <w:t>so that the distribution of covariates X</w:t>
      </w:r>
      <w:r w:rsidRPr="000A675D">
        <w:rPr>
          <w:rFonts w:eastAsiaTheme="minorEastAsia"/>
          <w:vertAlign w:val="subscript"/>
        </w:rPr>
        <w:t>SC</w:t>
      </w:r>
      <w:r>
        <w:rPr>
          <w:rFonts w:eastAsiaTheme="minorEastAsia"/>
        </w:rPr>
        <w:t xml:space="preserve"> approximates those observed in the prospective trial X.  </w:t>
      </w:r>
      <w:r w:rsidR="00954322">
        <w:rPr>
          <w:rFonts w:eastAsiaTheme="minorEastAsia"/>
        </w:rPr>
        <w:t xml:space="preserve">  Personalised synthetic controls act by using the control data to generate a model based on the covariates X</w:t>
      </w:r>
      <w:r w:rsidR="007466FF">
        <w:rPr>
          <w:rFonts w:eastAsiaTheme="minorEastAsia"/>
        </w:rPr>
        <w:t>.  This is then used to estimate the control outcome for each patient</w:t>
      </w:r>
    </w:p>
    <w:p w14:paraId="555D683F" w14:textId="77777777" w:rsidR="00954322" w:rsidRDefault="00954322" w:rsidP="00F36B39">
      <w:pPr>
        <w:rPr>
          <w:rFonts w:eastAsiaTheme="minorEastAsia"/>
        </w:rPr>
      </w:pPr>
    </w:p>
    <w:p w14:paraId="5595B8A8" w14:textId="6B3519DC" w:rsidR="00954322" w:rsidRDefault="007466FF" w:rsidP="00F36B39">
      <w:pPr>
        <w:rPr>
          <w:rFonts w:eastAsiaTheme="minorEastAsia"/>
        </w:rPr>
      </w:pPr>
      <m:oMathPara>
        <m:oMath>
          <m:acc>
            <m:accPr>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e>
          </m:acc>
          <m:d>
            <m:dPr>
              <m:ctrlPr>
                <w:rPr>
                  <w:rFonts w:ascii="Cambria Math" w:eastAsiaTheme="minorEastAsia" w:hAnsi="Cambria Math"/>
                  <w:i/>
                </w:rPr>
              </m:ctrlPr>
            </m:dPr>
            <m:e>
              <m:r>
                <w:rPr>
                  <w:rFonts w:ascii="Cambria Math" w:eastAsiaTheme="minorEastAsia" w:hAnsi="Cambria Math"/>
                </w:rPr>
                <m:t>0</m:t>
              </m:r>
            </m:e>
            <m:e>
              <m:r>
                <w:rPr>
                  <w:rFonts w:ascii="Cambria Math" w:eastAsiaTheme="minorEastAsia" w:hAnsi="Cambria Math"/>
                </w:rPr>
                <m:t>X</m:t>
              </m:r>
            </m:e>
          </m:d>
          <m:r>
            <w:rPr>
              <w:rFonts w:ascii="Cambria Math" w:eastAsiaTheme="minorEastAsia" w:hAnsi="Cambria Math"/>
            </w:rPr>
            <m:t>= E[</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r>
            <w:rPr>
              <w:rFonts w:ascii="Cambria Math" w:eastAsiaTheme="minorEastAsia" w:hAnsi="Cambria Math"/>
            </w:rPr>
            <m:t>(0)|X]=f(</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m:t>
          </m:r>
        </m:oMath>
      </m:oMathPara>
    </w:p>
    <w:p w14:paraId="71931D73" w14:textId="77777777" w:rsidR="00954322" w:rsidRDefault="00954322" w:rsidP="00F36B39">
      <w:pPr>
        <w:rPr>
          <w:rFonts w:eastAsiaTheme="minorEastAsia"/>
        </w:rPr>
      </w:pPr>
    </w:p>
    <w:p w14:paraId="2AC4FF7E" w14:textId="77777777" w:rsidR="007466FF" w:rsidRDefault="007466FF" w:rsidP="00F36B39">
      <w:pPr>
        <w:rPr>
          <w:rFonts w:eastAsiaTheme="minorEastAsia"/>
        </w:rPr>
      </w:pPr>
    </w:p>
    <w:p w14:paraId="38D0FCCD" w14:textId="6D9AEAE4" w:rsidR="008D73C3" w:rsidRPr="00C60E31" w:rsidRDefault="007466FF" w:rsidP="00F36B39">
      <w:pPr>
        <w:rPr>
          <w:rFonts w:eastAsiaTheme="minorEastAsia"/>
        </w:rPr>
      </w:pPr>
      <w:r>
        <w:rPr>
          <w:rFonts w:eastAsiaTheme="minorEastAsia"/>
        </w:rPr>
        <w:t>We then define the treatment effect on a patient level as the difference between the observed and predicted outcomes</w:t>
      </w:r>
    </w:p>
    <w:p w14:paraId="5AEEB4EB" w14:textId="77777777" w:rsidR="008D73C3" w:rsidRDefault="008D73C3" w:rsidP="00F36B39"/>
    <w:p w14:paraId="284F4DC6" w14:textId="13B14AE5" w:rsidR="00F36B39" w:rsidRDefault="007466FF" w:rsidP="00F36B39">
      <m:oMathPara>
        <m:oMath>
          <m:sSub>
            <m:sSubPr>
              <m:ctrlPr>
                <w:rPr>
                  <w:rFonts w:ascii="Cambria Math" w:hAnsi="Cambria Math"/>
                  <w:i/>
                </w:rPr>
              </m:ctrlPr>
            </m:sSubPr>
            <m:e>
              <m:r>
                <w:rPr>
                  <w:rFonts w:ascii="Cambria Math" w:hAnsi="Cambria Math"/>
                </w:rPr>
                <m:t>τ</m:t>
              </m:r>
            </m:e>
            <m:sub>
              <m:r>
                <w:rPr>
                  <w:rFonts w:ascii="Cambria Math" w:hAnsi="Cambria Math"/>
                </w:rPr>
                <m:t>i</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d>
            <m:dPr>
              <m:ctrlPr>
                <w:rPr>
                  <w:rFonts w:ascii="Cambria Math" w:eastAsiaTheme="minorEastAsia" w:hAnsi="Cambria Math"/>
                  <w:i/>
                </w:rPr>
              </m:ctrlPr>
            </m:dPr>
            <m:e>
              <m:r>
                <w:rPr>
                  <w:rFonts w:ascii="Cambria Math" w:eastAsiaTheme="minorEastAsia" w:hAnsi="Cambria Math"/>
                </w:rPr>
                <m:t>1</m:t>
              </m:r>
            </m:e>
            <m:e>
              <m:r>
                <w:rPr>
                  <w:rFonts w:ascii="Cambria Math" w:eastAsiaTheme="minorEastAsia" w:hAnsi="Cambria Math"/>
                </w:rPr>
                <m:t>X</m:t>
              </m:r>
            </m:e>
          </m:d>
          <m:r>
            <w:rPr>
              <w:rFonts w:ascii="Cambria Math" w:eastAsiaTheme="minorEastAsia" w:hAnsi="Cambria Math"/>
            </w:rPr>
            <m:t>-</m:t>
          </m:r>
          <m:acc>
            <m:accPr>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e>
          </m:acc>
          <m:d>
            <m:dPr>
              <m:ctrlPr>
                <w:rPr>
                  <w:rFonts w:ascii="Cambria Math" w:eastAsiaTheme="minorEastAsia" w:hAnsi="Cambria Math"/>
                  <w:i/>
                </w:rPr>
              </m:ctrlPr>
            </m:dPr>
            <m:e>
              <m:r>
                <w:rPr>
                  <w:rFonts w:ascii="Cambria Math" w:eastAsiaTheme="minorEastAsia" w:hAnsi="Cambria Math"/>
                </w:rPr>
                <m:t>0</m:t>
              </m:r>
            </m:e>
            <m:e>
              <m:r>
                <w:rPr>
                  <w:rFonts w:ascii="Cambria Math" w:eastAsiaTheme="minorEastAsia" w:hAnsi="Cambria Math"/>
                </w:rPr>
                <m:t>X</m:t>
              </m:r>
            </m:e>
          </m:d>
        </m:oMath>
      </m:oMathPara>
    </w:p>
    <w:p w14:paraId="1757A83E" w14:textId="77777777" w:rsidR="008D73C3" w:rsidRDefault="008D73C3" w:rsidP="00F36B39"/>
    <w:p w14:paraId="31D225B0" w14:textId="6E7DB5B1" w:rsidR="00C60E31" w:rsidRDefault="00C60E31" w:rsidP="00C60E31">
      <w:pPr>
        <w:rPr>
          <w:rFonts w:eastAsiaTheme="minorEastAsia"/>
        </w:rPr>
      </w:pPr>
      <w:r>
        <w:t xml:space="preserve">The causal estimand is then obtained by taking the expectation over each individual estimate of the treatment effect.  With both </w:t>
      </w:r>
      <w:r>
        <w:rPr>
          <w:rFonts w:eastAsiaTheme="minorEastAsia"/>
        </w:rPr>
        <w:t>approaches</w:t>
      </w:r>
      <w:r>
        <w:rPr>
          <w:rFonts w:eastAsiaTheme="minorEastAsia"/>
        </w:rPr>
        <w:t xml:space="preserve"> the source of control information can be defined prior to the start of the trial</w:t>
      </w:r>
      <w:r>
        <w:rPr>
          <w:rFonts w:eastAsiaTheme="minorEastAsia"/>
        </w:rPr>
        <w:t xml:space="preserve"> but the control outcome </w:t>
      </w:r>
      <w:r>
        <w:rPr>
          <w:rFonts w:eastAsiaTheme="minorEastAsia"/>
        </w:rPr>
        <w:t>depend</w:t>
      </w:r>
      <w:r>
        <w:rPr>
          <w:rFonts w:eastAsiaTheme="minorEastAsia"/>
        </w:rPr>
        <w:t>s</w:t>
      </w:r>
      <w:r>
        <w:rPr>
          <w:rFonts w:eastAsiaTheme="minorEastAsia"/>
        </w:rPr>
        <w:t xml:space="preserve"> upon the population who are recruited</w:t>
      </w:r>
      <w:r>
        <w:rPr>
          <w:rFonts w:eastAsiaTheme="minorEastAsia"/>
        </w:rPr>
        <w:t>.  Due to this dependence the causal estimand is closer to the CATE than the ATE.</w:t>
      </w:r>
    </w:p>
    <w:p w14:paraId="278F98B8" w14:textId="77777777" w:rsidR="00C60E31" w:rsidRDefault="00C60E31" w:rsidP="00C60E31">
      <w:pPr>
        <w:rPr>
          <w:rFonts w:eastAsiaTheme="minorEastAsia"/>
        </w:rPr>
      </w:pPr>
    </w:p>
    <w:p w14:paraId="479D8899" w14:textId="4AE293F9" w:rsidR="00C60E31" w:rsidRDefault="00C60E31" w:rsidP="00C60E31">
      <w:r>
        <w:rPr>
          <w:rFonts w:eastAsiaTheme="minorEastAsia"/>
        </w:rPr>
        <w:t xml:space="preserve">and the control outcome </w:t>
      </w:r>
      <w:proofErr w:type="spellStart"/>
      <w:r>
        <w:rPr>
          <w:rFonts w:eastAsiaTheme="minorEastAsia"/>
        </w:rPr>
        <w:t>can not</w:t>
      </w:r>
      <w:proofErr w:type="spellEnd"/>
      <w:r>
        <w:rPr>
          <w:rFonts w:eastAsiaTheme="minorEastAsia"/>
        </w:rPr>
        <w:t xml:space="preserve"> be defined until the experimental population has been observed. </w:t>
      </w:r>
    </w:p>
    <w:p w14:paraId="32EC4119" w14:textId="018E289B" w:rsidR="00C60E31" w:rsidRDefault="00C60E31" w:rsidP="00F36B39">
      <w:r>
        <w:t xml:space="preserve"> </w:t>
      </w:r>
    </w:p>
    <w:p w14:paraId="0F5334F2" w14:textId="77777777" w:rsidR="003F09FC" w:rsidRDefault="003F09FC" w:rsidP="00831E3D"/>
    <w:p w14:paraId="02CB970E" w14:textId="77777777" w:rsidR="003F09FC" w:rsidRDefault="003F09FC" w:rsidP="00831E3D"/>
    <w:p w14:paraId="6D9D7519" w14:textId="77777777" w:rsidR="00C60E31" w:rsidRDefault="00C60E31" w:rsidP="00831E3D"/>
    <w:p w14:paraId="71E408B8" w14:textId="6BD34209" w:rsidR="001C5E94" w:rsidRPr="001A22C5" w:rsidRDefault="001C5E94" w:rsidP="0038113C">
      <w:pPr>
        <w:pStyle w:val="Heading1"/>
        <w:rPr>
          <w:color w:val="auto"/>
        </w:rPr>
      </w:pPr>
      <w:r>
        <w:t xml:space="preserve">Example – </w:t>
      </w:r>
      <w:proofErr w:type="spellStart"/>
      <w:r>
        <w:t>Atezo</w:t>
      </w:r>
      <w:proofErr w:type="spellEnd"/>
      <w:r>
        <w:t xml:space="preserve"> Bev in HCC</w:t>
      </w:r>
    </w:p>
    <w:p w14:paraId="027A3707" w14:textId="77777777" w:rsidR="00486A83" w:rsidRDefault="00486A83" w:rsidP="00831E3D"/>
    <w:p w14:paraId="6E5AE3C1" w14:textId="48811DED" w:rsidR="001C5E94" w:rsidRPr="001A22C5" w:rsidRDefault="001C5E94" w:rsidP="00831E3D">
      <w:r>
        <w:t>Simulation Study</w:t>
      </w:r>
    </w:p>
    <w:p w14:paraId="2DDD6E14" w14:textId="77777777" w:rsidR="00831E3D" w:rsidRDefault="00831E3D" w:rsidP="00831E3D"/>
    <w:p w14:paraId="2F8EA5D3" w14:textId="3038C5EF" w:rsidR="001C5E94" w:rsidRDefault="001C5E94" w:rsidP="00831E3D">
      <w:r>
        <w:t>Allocation ratios in randomised studies using synthetic Controls</w:t>
      </w:r>
    </w:p>
    <w:p w14:paraId="52C01CC9" w14:textId="77777777" w:rsidR="001C5E94" w:rsidRPr="001A22C5" w:rsidRDefault="001C5E94" w:rsidP="00831E3D"/>
    <w:p w14:paraId="50FA35F5" w14:textId="5C177727" w:rsidR="002E11DB" w:rsidRPr="001A22C5" w:rsidRDefault="0038113C" w:rsidP="0038113C">
      <w:pPr>
        <w:pStyle w:val="Heading1"/>
      </w:pPr>
      <w:r>
        <w:t>Simulation Study</w:t>
      </w:r>
    </w:p>
    <w:p w14:paraId="7C39B368" w14:textId="77777777" w:rsidR="002E11DB" w:rsidRPr="001A22C5" w:rsidRDefault="002E11DB" w:rsidP="00831E3D"/>
    <w:p w14:paraId="66DBED01" w14:textId="78824620" w:rsidR="002E11DB" w:rsidRPr="001A22C5" w:rsidRDefault="002E11DB" w:rsidP="00831E3D">
      <w:r w:rsidRPr="001A22C5">
        <w:t>Single Arm</w:t>
      </w:r>
    </w:p>
    <w:p w14:paraId="60DF9009" w14:textId="755E9841" w:rsidR="002E11DB" w:rsidRPr="001A22C5" w:rsidRDefault="002E11DB" w:rsidP="002E11DB">
      <w:pPr>
        <w:pStyle w:val="ListParagraph"/>
        <w:numPr>
          <w:ilvl w:val="0"/>
          <w:numId w:val="1"/>
        </w:numPr>
      </w:pPr>
      <w:r w:rsidRPr="001A22C5">
        <w:t>Standard</w:t>
      </w:r>
    </w:p>
    <w:p w14:paraId="3653979C" w14:textId="304A5026" w:rsidR="002E11DB" w:rsidRPr="001A22C5" w:rsidRDefault="002E11DB" w:rsidP="002E11DB">
      <w:pPr>
        <w:pStyle w:val="ListParagraph"/>
        <w:numPr>
          <w:ilvl w:val="0"/>
          <w:numId w:val="1"/>
        </w:numPr>
      </w:pPr>
      <w:r w:rsidRPr="001A22C5">
        <w:t>Inflated Variance</w:t>
      </w:r>
    </w:p>
    <w:p w14:paraId="67E5898F" w14:textId="77777777" w:rsidR="002E11DB" w:rsidRPr="001A22C5" w:rsidRDefault="002E11DB" w:rsidP="00831E3D"/>
    <w:p w14:paraId="4F46DEE1" w14:textId="77777777" w:rsidR="002E11DB" w:rsidRPr="001A22C5" w:rsidRDefault="002E11DB" w:rsidP="00831E3D"/>
    <w:p w14:paraId="18712B2E" w14:textId="4C110108" w:rsidR="002E11DB" w:rsidRPr="001A22C5" w:rsidRDefault="002E11DB" w:rsidP="00831E3D">
      <w:r w:rsidRPr="001A22C5">
        <w:t>Randomised Design</w:t>
      </w:r>
    </w:p>
    <w:p w14:paraId="2E27E96B" w14:textId="77777777" w:rsidR="002E11DB" w:rsidRPr="001A22C5" w:rsidRDefault="002E11DB" w:rsidP="00831E3D"/>
    <w:p w14:paraId="0A78FDB1" w14:textId="5C0CBD4C" w:rsidR="002E11DB" w:rsidRPr="001A22C5" w:rsidRDefault="002E11DB" w:rsidP="00831E3D">
      <w:r w:rsidRPr="001A22C5">
        <w:t>Equal Allocation</w:t>
      </w:r>
    </w:p>
    <w:p w14:paraId="474F9864" w14:textId="77777777" w:rsidR="002E11DB" w:rsidRPr="001A22C5" w:rsidRDefault="002E11DB" w:rsidP="002E11DB">
      <w:pPr>
        <w:pStyle w:val="ListParagraph"/>
        <w:numPr>
          <w:ilvl w:val="0"/>
          <w:numId w:val="1"/>
        </w:numPr>
      </w:pPr>
      <w:r w:rsidRPr="001A22C5">
        <w:t>Standard</w:t>
      </w:r>
    </w:p>
    <w:p w14:paraId="539615E2" w14:textId="77777777" w:rsidR="002E11DB" w:rsidRPr="001A22C5" w:rsidRDefault="002E11DB" w:rsidP="002E11DB">
      <w:pPr>
        <w:pStyle w:val="ListParagraph"/>
        <w:numPr>
          <w:ilvl w:val="0"/>
          <w:numId w:val="1"/>
        </w:numPr>
      </w:pPr>
      <w:r w:rsidRPr="001A22C5">
        <w:t>Inflated Variance</w:t>
      </w:r>
    </w:p>
    <w:p w14:paraId="436231D3" w14:textId="77777777" w:rsidR="002E11DB" w:rsidRPr="001A22C5" w:rsidRDefault="002E11DB" w:rsidP="00831E3D"/>
    <w:p w14:paraId="44F3135E" w14:textId="513F1554" w:rsidR="002E11DB" w:rsidRPr="001A22C5" w:rsidRDefault="002E11DB" w:rsidP="00831E3D">
      <w:r w:rsidRPr="001A22C5">
        <w:t>Unequal Allocation</w:t>
      </w:r>
    </w:p>
    <w:p w14:paraId="38525F53" w14:textId="77777777" w:rsidR="002E11DB" w:rsidRPr="001A22C5" w:rsidRDefault="002E11DB" w:rsidP="002E11DB">
      <w:pPr>
        <w:pStyle w:val="ListParagraph"/>
        <w:numPr>
          <w:ilvl w:val="0"/>
          <w:numId w:val="1"/>
        </w:numPr>
      </w:pPr>
      <w:r w:rsidRPr="001A22C5">
        <w:t>Standard</w:t>
      </w:r>
    </w:p>
    <w:p w14:paraId="4B1FD3CF" w14:textId="77777777" w:rsidR="002E11DB" w:rsidRPr="001A22C5" w:rsidRDefault="002E11DB" w:rsidP="002E11DB">
      <w:pPr>
        <w:pStyle w:val="ListParagraph"/>
        <w:numPr>
          <w:ilvl w:val="0"/>
          <w:numId w:val="1"/>
        </w:numPr>
      </w:pPr>
      <w:r w:rsidRPr="001A22C5">
        <w:t>Inflated Variance</w:t>
      </w:r>
    </w:p>
    <w:p w14:paraId="1B88085F" w14:textId="77777777" w:rsidR="002E11DB" w:rsidRPr="001A22C5" w:rsidRDefault="002E11DB" w:rsidP="00831E3D"/>
    <w:p w14:paraId="019F3927" w14:textId="77777777" w:rsidR="002E11DB" w:rsidRPr="001A22C5" w:rsidRDefault="002E11DB" w:rsidP="00831E3D"/>
    <w:p w14:paraId="64FB2C32" w14:textId="77777777" w:rsidR="002E11DB" w:rsidRPr="001A22C5" w:rsidRDefault="002E11DB" w:rsidP="00831E3D"/>
    <w:p w14:paraId="1FC99FFB" w14:textId="77777777" w:rsidR="002E11DB" w:rsidRPr="001A22C5" w:rsidRDefault="002E11DB" w:rsidP="00831E3D"/>
    <w:p w14:paraId="5465A6AB" w14:textId="532A7B50" w:rsidR="00831E3D" w:rsidRDefault="00831E3D" w:rsidP="001A22C5">
      <w:pPr>
        <w:pStyle w:val="Heading1"/>
      </w:pPr>
      <w:r w:rsidRPr="001A22C5">
        <w:t>Discussion</w:t>
      </w:r>
    </w:p>
    <w:p w14:paraId="51DE1CB6" w14:textId="77777777" w:rsidR="00833B39" w:rsidRDefault="00833B39" w:rsidP="00833B39"/>
    <w:p w14:paraId="21716432" w14:textId="77777777" w:rsidR="00833B39" w:rsidRDefault="00833B39" w:rsidP="00833B39">
      <w:r>
        <w:t xml:space="preserve">Talk about the setting – controls in ‘practice’ not </w:t>
      </w:r>
      <w:proofErr w:type="spellStart"/>
      <w:r>
        <w:t>neccesserily</w:t>
      </w:r>
      <w:proofErr w:type="spellEnd"/>
      <w:r>
        <w:t xml:space="preserve"> the same as controls in a trial: Transportability of trial results – SUTVA assumption</w:t>
      </w:r>
    </w:p>
    <w:p w14:paraId="148B5AE0" w14:textId="77777777" w:rsidR="00833B39" w:rsidRPr="00833B39" w:rsidRDefault="00833B39" w:rsidP="00833B39">
      <w:pPr>
        <w:rPr>
          <w:b/>
          <w:bCs/>
        </w:rPr>
      </w:pPr>
    </w:p>
    <w:p w14:paraId="01255E5F" w14:textId="77777777" w:rsidR="00831E3D" w:rsidRPr="001A22C5" w:rsidRDefault="00831E3D" w:rsidP="00831E3D"/>
    <w:p w14:paraId="3B7860AD" w14:textId="77777777" w:rsidR="00A4320E" w:rsidRDefault="00A4320E" w:rsidP="00A4320E"/>
    <w:p w14:paraId="14219E26" w14:textId="77777777" w:rsidR="00A4320E" w:rsidRDefault="00A4320E" w:rsidP="00A4320E">
      <w:r>
        <w:t xml:space="preserve">Causal Inference, be it from trials or observational cohorts, work </w:t>
      </w:r>
      <w:proofErr w:type="gramStart"/>
      <w:r>
        <w:t>on the basis of</w:t>
      </w:r>
      <w:proofErr w:type="gramEnd"/>
      <w:r>
        <w:t xml:space="preserve"> trying to determine how patients would have performed if they had received an alternative therapy.  One of the challenges of designing an externally controlled trial is that there is uncertainty over the population that will be recruited.  Any strategy therefore must be flexible enough to account for this.</w:t>
      </w:r>
    </w:p>
    <w:p w14:paraId="1080501D" w14:textId="77777777" w:rsidR="00831E3D" w:rsidRDefault="00831E3D" w:rsidP="00831E3D"/>
    <w:p w14:paraId="09664F80" w14:textId="76110C10" w:rsidR="002651EE" w:rsidRDefault="00F36B39" w:rsidP="00831E3D">
      <w:r>
        <w:t>Previous Bayesian designs have sought to place a prior directly on the treatment effect which seems counter intuitive as at the onset of any study, this is not where the natural information exists.</w:t>
      </w:r>
    </w:p>
    <w:p w14:paraId="5732A471" w14:textId="77777777" w:rsidR="00562FA2" w:rsidRDefault="00562FA2" w:rsidP="00831E3D"/>
    <w:p w14:paraId="5969D499" w14:textId="77777777" w:rsidR="008D73C3" w:rsidRDefault="008D73C3" w:rsidP="00831E3D"/>
    <w:p w14:paraId="49C8AE51" w14:textId="3E9477E9" w:rsidR="008D73C3" w:rsidRDefault="008D73C3" w:rsidP="00831E3D">
      <w:r>
        <w:t>In RCTs assumptions are easier due to the process of randomisation</w:t>
      </w:r>
    </w:p>
    <w:p w14:paraId="15CF70C8" w14:textId="6425662F" w:rsidR="00562FA2" w:rsidRDefault="00562FA2" w:rsidP="00831E3D">
      <w:r>
        <w:t>Beyond the average treatment effect</w:t>
      </w:r>
    </w:p>
    <w:p w14:paraId="296EF3AF" w14:textId="77777777" w:rsidR="00954322" w:rsidRDefault="00954322" w:rsidP="00831E3D"/>
    <w:p w14:paraId="004EAC98" w14:textId="276B4623" w:rsidR="00954322" w:rsidRDefault="00954322" w:rsidP="00831E3D">
      <w:r>
        <w:t>Synthetic controls adapt to the recruited population which offer an advantage to those designs which define priors before patients are recruited.</w:t>
      </w:r>
    </w:p>
    <w:p w14:paraId="0C162985" w14:textId="49439AA6" w:rsidR="002651EE" w:rsidRDefault="002651EE">
      <w:r>
        <w:br w:type="page"/>
      </w:r>
    </w:p>
    <w:p w14:paraId="65B5DE49" w14:textId="77777777" w:rsidR="002651EE" w:rsidRDefault="002651EE" w:rsidP="002651EE">
      <w:pPr>
        <w:rPr>
          <w:rFonts w:asciiTheme="majorHAnsi" w:eastAsiaTheme="majorEastAsia" w:hAnsiTheme="majorHAnsi" w:cstheme="majorBidi"/>
          <w:color w:val="0F4761" w:themeColor="accent1" w:themeShade="BF"/>
          <w:sz w:val="40"/>
          <w:szCs w:val="40"/>
        </w:rPr>
      </w:pPr>
    </w:p>
    <w:p w14:paraId="0D1D7B4D" w14:textId="77777777" w:rsidR="002651EE" w:rsidRDefault="002651EE" w:rsidP="0038113C">
      <w:pPr>
        <w:pStyle w:val="Heading1"/>
      </w:pPr>
      <w:r>
        <w:t>References</w:t>
      </w:r>
    </w:p>
    <w:p w14:paraId="3F0FF836" w14:textId="77777777" w:rsidR="002651EE" w:rsidRPr="009C4418" w:rsidRDefault="002651EE" w:rsidP="002651EE">
      <w:pPr>
        <w:rPr>
          <w:rFonts w:ascii="Arial" w:hAnsi="Arial" w:cs="Arial"/>
          <w:color w:val="222222"/>
          <w:sz w:val="20"/>
          <w:szCs w:val="20"/>
          <w:shd w:val="clear" w:color="auto" w:fill="FFFFFF"/>
        </w:rPr>
      </w:pPr>
    </w:p>
    <w:p w14:paraId="62B21525" w14:textId="77777777" w:rsidR="002651EE" w:rsidRPr="009C4418" w:rsidRDefault="002651EE" w:rsidP="002651EE">
      <w:pPr>
        <w:pStyle w:val="ListParagraph"/>
        <w:numPr>
          <w:ilvl w:val="0"/>
          <w:numId w:val="10"/>
        </w:numPr>
        <w:rPr>
          <w:rFonts w:ascii="Arial" w:hAnsi="Arial" w:cs="Arial"/>
          <w:color w:val="222222"/>
          <w:sz w:val="20"/>
          <w:szCs w:val="20"/>
          <w:shd w:val="clear" w:color="auto" w:fill="FFFFFF"/>
        </w:rPr>
      </w:pPr>
      <w:r w:rsidRPr="00403E29">
        <w:rPr>
          <w:rFonts w:ascii="Arial" w:hAnsi="Arial" w:cs="Arial"/>
          <w:color w:val="222222"/>
          <w:sz w:val="20"/>
          <w:szCs w:val="20"/>
          <w:shd w:val="clear" w:color="auto" w:fill="FFFFFF"/>
        </w:rPr>
        <w:t>Pocock SJ. The combination of randomized and historical controls in clinical trials. Journal of chronic diseases. 1976 Mar 1;29(3):175-88.</w:t>
      </w:r>
    </w:p>
    <w:p w14:paraId="64E20B00" w14:textId="77777777" w:rsidR="002651EE" w:rsidRPr="009C4418" w:rsidRDefault="002651EE" w:rsidP="002651EE">
      <w:pPr>
        <w:pStyle w:val="ListParagraph"/>
        <w:rPr>
          <w:rFonts w:ascii="Arial" w:hAnsi="Arial" w:cs="Arial"/>
          <w:color w:val="222222"/>
          <w:sz w:val="20"/>
          <w:szCs w:val="20"/>
          <w:shd w:val="clear" w:color="auto" w:fill="FFFFFF"/>
        </w:rPr>
      </w:pPr>
    </w:p>
    <w:p w14:paraId="4ECCE1AE" w14:textId="77777777" w:rsidR="002651EE" w:rsidRPr="009C4418" w:rsidRDefault="002651EE" w:rsidP="002651EE">
      <w:pPr>
        <w:pStyle w:val="ListParagraph"/>
        <w:numPr>
          <w:ilvl w:val="0"/>
          <w:numId w:val="10"/>
        </w:numPr>
        <w:rPr>
          <w:rFonts w:ascii="Arial" w:hAnsi="Arial" w:cs="Arial"/>
          <w:color w:val="222222"/>
          <w:sz w:val="20"/>
          <w:szCs w:val="20"/>
          <w:shd w:val="clear" w:color="auto" w:fill="FFFFFF"/>
        </w:rPr>
      </w:pPr>
      <w:r w:rsidRPr="00403E29">
        <w:rPr>
          <w:rFonts w:ascii="Arial" w:hAnsi="Arial" w:cs="Arial"/>
          <w:color w:val="222222"/>
          <w:sz w:val="20"/>
          <w:szCs w:val="20"/>
          <w:shd w:val="clear" w:color="auto" w:fill="FFFFFF"/>
        </w:rPr>
        <w:t xml:space="preserve">Neuenschwander B, </w:t>
      </w:r>
      <w:proofErr w:type="spellStart"/>
      <w:r w:rsidRPr="00403E29">
        <w:rPr>
          <w:rFonts w:ascii="Arial" w:hAnsi="Arial" w:cs="Arial"/>
          <w:color w:val="222222"/>
          <w:sz w:val="20"/>
          <w:szCs w:val="20"/>
          <w:shd w:val="clear" w:color="auto" w:fill="FFFFFF"/>
        </w:rPr>
        <w:t>Capkun</w:t>
      </w:r>
      <w:proofErr w:type="spellEnd"/>
      <w:r w:rsidRPr="00403E29">
        <w:rPr>
          <w:rFonts w:ascii="Arial" w:hAnsi="Arial" w:cs="Arial"/>
          <w:color w:val="222222"/>
          <w:sz w:val="20"/>
          <w:szCs w:val="20"/>
          <w:shd w:val="clear" w:color="auto" w:fill="FFFFFF"/>
        </w:rPr>
        <w:t>-Niggli G, Branson M, Spiegelhalter DJ. Summarizing historical information on controls in clinical trials. Clinical Trials. 2010 Feb;7(1):5-18.</w:t>
      </w:r>
    </w:p>
    <w:p w14:paraId="24FAB285" w14:textId="77777777" w:rsidR="002651EE" w:rsidRPr="009C4418" w:rsidRDefault="002651EE" w:rsidP="002651EE">
      <w:pPr>
        <w:pStyle w:val="ListParagraph"/>
        <w:rPr>
          <w:rFonts w:ascii="Arial" w:hAnsi="Arial" w:cs="Arial"/>
          <w:color w:val="222222"/>
          <w:sz w:val="20"/>
          <w:szCs w:val="20"/>
          <w:shd w:val="clear" w:color="auto" w:fill="FFFFFF"/>
        </w:rPr>
      </w:pPr>
    </w:p>
    <w:p w14:paraId="409F57C8" w14:textId="77777777" w:rsidR="002651EE" w:rsidRPr="00403E29" w:rsidRDefault="002651EE" w:rsidP="002651EE">
      <w:pPr>
        <w:pStyle w:val="ListParagraph"/>
        <w:numPr>
          <w:ilvl w:val="0"/>
          <w:numId w:val="10"/>
        </w:numPr>
        <w:rPr>
          <w:rFonts w:ascii="Arial" w:hAnsi="Arial" w:cs="Arial"/>
          <w:color w:val="222222"/>
          <w:sz w:val="20"/>
          <w:szCs w:val="20"/>
          <w:shd w:val="clear" w:color="auto" w:fill="FFFFFF"/>
        </w:rPr>
      </w:pPr>
      <w:r w:rsidRPr="00403E29">
        <w:rPr>
          <w:rFonts w:ascii="Arial" w:hAnsi="Arial" w:cs="Arial"/>
          <w:color w:val="222222"/>
          <w:sz w:val="20"/>
          <w:szCs w:val="20"/>
          <w:shd w:val="clear" w:color="auto" w:fill="FFFFFF"/>
        </w:rPr>
        <w:t xml:space="preserve">Jahanshahi M, Gregg K, Davis G, </w:t>
      </w:r>
      <w:proofErr w:type="spellStart"/>
      <w:r w:rsidRPr="00403E29">
        <w:rPr>
          <w:rFonts w:ascii="Arial" w:hAnsi="Arial" w:cs="Arial"/>
          <w:color w:val="222222"/>
          <w:sz w:val="20"/>
          <w:szCs w:val="20"/>
          <w:shd w:val="clear" w:color="auto" w:fill="FFFFFF"/>
        </w:rPr>
        <w:t>Ndu</w:t>
      </w:r>
      <w:proofErr w:type="spellEnd"/>
      <w:r w:rsidRPr="00403E29">
        <w:rPr>
          <w:rFonts w:ascii="Arial" w:hAnsi="Arial" w:cs="Arial"/>
          <w:color w:val="222222"/>
          <w:sz w:val="20"/>
          <w:szCs w:val="20"/>
          <w:shd w:val="clear" w:color="auto" w:fill="FFFFFF"/>
        </w:rPr>
        <w:t xml:space="preserve"> A, Miller V, </w:t>
      </w:r>
      <w:proofErr w:type="spellStart"/>
      <w:r w:rsidRPr="00403E29">
        <w:rPr>
          <w:rFonts w:ascii="Arial" w:hAnsi="Arial" w:cs="Arial"/>
          <w:color w:val="222222"/>
          <w:sz w:val="20"/>
          <w:szCs w:val="20"/>
          <w:shd w:val="clear" w:color="auto" w:fill="FFFFFF"/>
        </w:rPr>
        <w:t>Vockley</w:t>
      </w:r>
      <w:proofErr w:type="spellEnd"/>
      <w:r w:rsidRPr="00403E29">
        <w:rPr>
          <w:rFonts w:ascii="Arial" w:hAnsi="Arial" w:cs="Arial"/>
          <w:color w:val="222222"/>
          <w:sz w:val="20"/>
          <w:szCs w:val="20"/>
          <w:shd w:val="clear" w:color="auto" w:fill="FFFFFF"/>
        </w:rPr>
        <w:t xml:space="preserve"> J, Ollivier C, </w:t>
      </w:r>
      <w:proofErr w:type="spellStart"/>
      <w:r w:rsidRPr="00403E29">
        <w:rPr>
          <w:rFonts w:ascii="Arial" w:hAnsi="Arial" w:cs="Arial"/>
          <w:color w:val="222222"/>
          <w:sz w:val="20"/>
          <w:szCs w:val="20"/>
          <w:shd w:val="clear" w:color="auto" w:fill="FFFFFF"/>
        </w:rPr>
        <w:t>Franolic</w:t>
      </w:r>
      <w:proofErr w:type="spellEnd"/>
      <w:r w:rsidRPr="00403E29">
        <w:rPr>
          <w:rFonts w:ascii="Arial" w:hAnsi="Arial" w:cs="Arial"/>
          <w:color w:val="222222"/>
          <w:sz w:val="20"/>
          <w:szCs w:val="20"/>
          <w:shd w:val="clear" w:color="auto" w:fill="FFFFFF"/>
        </w:rPr>
        <w:t xml:space="preserve"> T, Sakai S. The use of external controls in FDA regulatory decision making. Therapeutic Innovation &amp; Regulatory Science. 2021 Sep;55(5):1019-35.</w:t>
      </w:r>
    </w:p>
    <w:p w14:paraId="3BF767BA" w14:textId="77777777" w:rsidR="002651EE" w:rsidRDefault="002651EE" w:rsidP="002651EE">
      <w:pPr>
        <w:rPr>
          <w:rFonts w:ascii="Arial" w:hAnsi="Arial" w:cs="Arial"/>
          <w:color w:val="222222"/>
          <w:sz w:val="20"/>
          <w:szCs w:val="20"/>
          <w:shd w:val="clear" w:color="auto" w:fill="FFFFFF"/>
        </w:rPr>
      </w:pPr>
    </w:p>
    <w:p w14:paraId="1D531CC5" w14:textId="77777777" w:rsidR="002651EE" w:rsidRPr="00403E29" w:rsidRDefault="002651EE" w:rsidP="002651EE">
      <w:pPr>
        <w:pStyle w:val="ListParagraph"/>
        <w:numPr>
          <w:ilvl w:val="0"/>
          <w:numId w:val="10"/>
        </w:numPr>
        <w:rPr>
          <w:rFonts w:ascii="Arial" w:hAnsi="Arial" w:cs="Arial"/>
          <w:color w:val="222222"/>
          <w:sz w:val="20"/>
          <w:szCs w:val="20"/>
          <w:shd w:val="clear" w:color="auto" w:fill="FFFFFF"/>
        </w:rPr>
      </w:pPr>
      <w:r w:rsidRPr="00403E29">
        <w:rPr>
          <w:rFonts w:ascii="Arial" w:hAnsi="Arial" w:cs="Arial"/>
          <w:color w:val="222222"/>
          <w:sz w:val="20"/>
          <w:szCs w:val="20"/>
          <w:shd w:val="clear" w:color="auto" w:fill="FFFFFF"/>
        </w:rPr>
        <w:t xml:space="preserve">Lambert J, </w:t>
      </w:r>
      <w:proofErr w:type="spellStart"/>
      <w:r w:rsidRPr="00403E29">
        <w:rPr>
          <w:rFonts w:ascii="Arial" w:hAnsi="Arial" w:cs="Arial"/>
          <w:color w:val="222222"/>
          <w:sz w:val="20"/>
          <w:szCs w:val="20"/>
          <w:shd w:val="clear" w:color="auto" w:fill="FFFFFF"/>
        </w:rPr>
        <w:t>Lengliné</w:t>
      </w:r>
      <w:proofErr w:type="spellEnd"/>
      <w:r w:rsidRPr="00403E29">
        <w:rPr>
          <w:rFonts w:ascii="Arial" w:hAnsi="Arial" w:cs="Arial"/>
          <w:color w:val="222222"/>
          <w:sz w:val="20"/>
          <w:szCs w:val="20"/>
          <w:shd w:val="clear" w:color="auto" w:fill="FFFFFF"/>
        </w:rPr>
        <w:t xml:space="preserve"> E, Porcher R, </w:t>
      </w:r>
      <w:proofErr w:type="spellStart"/>
      <w:r w:rsidRPr="00403E29">
        <w:rPr>
          <w:rFonts w:ascii="Arial" w:hAnsi="Arial" w:cs="Arial"/>
          <w:color w:val="222222"/>
          <w:sz w:val="20"/>
          <w:szCs w:val="20"/>
          <w:shd w:val="clear" w:color="auto" w:fill="FFFFFF"/>
        </w:rPr>
        <w:t>Thiébaut</w:t>
      </w:r>
      <w:proofErr w:type="spellEnd"/>
      <w:r w:rsidRPr="00403E29">
        <w:rPr>
          <w:rFonts w:ascii="Arial" w:hAnsi="Arial" w:cs="Arial"/>
          <w:color w:val="222222"/>
          <w:sz w:val="20"/>
          <w:szCs w:val="20"/>
          <w:shd w:val="clear" w:color="auto" w:fill="FFFFFF"/>
        </w:rPr>
        <w:t xml:space="preserve"> R, Zohar S, </w:t>
      </w:r>
      <w:proofErr w:type="spellStart"/>
      <w:r w:rsidRPr="00403E29">
        <w:rPr>
          <w:rFonts w:ascii="Arial" w:hAnsi="Arial" w:cs="Arial"/>
          <w:color w:val="222222"/>
          <w:sz w:val="20"/>
          <w:szCs w:val="20"/>
          <w:shd w:val="clear" w:color="auto" w:fill="FFFFFF"/>
        </w:rPr>
        <w:t>Chevret</w:t>
      </w:r>
      <w:proofErr w:type="spellEnd"/>
      <w:r w:rsidRPr="00403E29">
        <w:rPr>
          <w:rFonts w:ascii="Arial" w:hAnsi="Arial" w:cs="Arial"/>
          <w:color w:val="222222"/>
          <w:sz w:val="20"/>
          <w:szCs w:val="20"/>
          <w:shd w:val="clear" w:color="auto" w:fill="FFFFFF"/>
        </w:rPr>
        <w:t xml:space="preserve"> S. Enriching single-arm clinical trials with external controls: possibilities and pitfalls. Blood advances. 2023 Oct 10;7(19):5680-90.</w:t>
      </w:r>
    </w:p>
    <w:p w14:paraId="18836F03" w14:textId="77777777" w:rsidR="002651EE" w:rsidRDefault="002651EE" w:rsidP="002651EE">
      <w:pPr>
        <w:rPr>
          <w:rFonts w:ascii="Arial" w:hAnsi="Arial" w:cs="Arial"/>
          <w:color w:val="222222"/>
          <w:sz w:val="20"/>
          <w:szCs w:val="20"/>
          <w:shd w:val="clear" w:color="auto" w:fill="FFFFFF"/>
        </w:rPr>
      </w:pPr>
    </w:p>
    <w:p w14:paraId="05467779" w14:textId="77777777" w:rsidR="002651EE" w:rsidRPr="00403E29" w:rsidRDefault="002651EE" w:rsidP="002651EE">
      <w:pPr>
        <w:pStyle w:val="ListParagraph"/>
        <w:numPr>
          <w:ilvl w:val="0"/>
          <w:numId w:val="10"/>
        </w:numPr>
        <w:rPr>
          <w:rFonts w:ascii="Arial" w:hAnsi="Arial" w:cs="Arial"/>
          <w:color w:val="222222"/>
          <w:sz w:val="20"/>
          <w:szCs w:val="20"/>
          <w:shd w:val="clear" w:color="auto" w:fill="FFFFFF"/>
        </w:rPr>
      </w:pPr>
      <w:r w:rsidRPr="00403E29">
        <w:rPr>
          <w:rFonts w:ascii="Arial" w:hAnsi="Arial" w:cs="Arial"/>
          <w:color w:val="222222"/>
          <w:sz w:val="20"/>
          <w:szCs w:val="20"/>
          <w:shd w:val="clear" w:color="auto" w:fill="FFFFFF"/>
        </w:rPr>
        <w:t>[Burger HU, Gerlinger C, Harbron C, Koch A, Posch M, Rochon J, Schiel A. The use of external controls: To what extent can it currently be recommended?. Pharmaceutical Statistics. 2021 Nov;20(6):1002-16.</w:t>
      </w:r>
    </w:p>
    <w:p w14:paraId="7B6204F7" w14:textId="77777777" w:rsidR="002651EE" w:rsidRDefault="002651EE" w:rsidP="002651EE">
      <w:pPr>
        <w:rPr>
          <w:rFonts w:ascii="Arial" w:hAnsi="Arial" w:cs="Arial"/>
          <w:color w:val="222222"/>
          <w:sz w:val="20"/>
          <w:szCs w:val="20"/>
          <w:shd w:val="clear" w:color="auto" w:fill="FFFFFF"/>
        </w:rPr>
      </w:pPr>
    </w:p>
    <w:p w14:paraId="7A6577C8" w14:textId="77777777" w:rsidR="002651EE" w:rsidRDefault="002651EE" w:rsidP="002651EE">
      <w:pPr>
        <w:pStyle w:val="ListParagraph"/>
        <w:numPr>
          <w:ilvl w:val="0"/>
          <w:numId w:val="10"/>
        </w:numPr>
        <w:rPr>
          <w:rFonts w:ascii="Arial" w:hAnsi="Arial" w:cs="Arial"/>
          <w:color w:val="222222"/>
          <w:sz w:val="20"/>
          <w:szCs w:val="20"/>
          <w:shd w:val="clear" w:color="auto" w:fill="FFFFFF"/>
        </w:rPr>
      </w:pPr>
      <w:r w:rsidRPr="00403E29">
        <w:rPr>
          <w:rFonts w:ascii="Arial" w:hAnsi="Arial" w:cs="Arial"/>
          <w:color w:val="222222"/>
          <w:sz w:val="20"/>
          <w:szCs w:val="20"/>
          <w:shd w:val="clear" w:color="auto" w:fill="FFFFFF"/>
        </w:rPr>
        <w:t>Schmidli H, Häring DA, Thomas M, Cassidy A, Weber S, Bretz F. Beyond randomized clinical trials: use of external controls. Clinical Pharmacology &amp; Therapeutics. 2020 Apr;107(4):806-16.</w:t>
      </w:r>
    </w:p>
    <w:p w14:paraId="21B11DD5" w14:textId="77777777" w:rsidR="002651EE" w:rsidRDefault="002651EE" w:rsidP="002651EE">
      <w:pPr>
        <w:rPr>
          <w:rFonts w:ascii="Arial" w:hAnsi="Arial" w:cs="Arial"/>
          <w:color w:val="222222"/>
          <w:sz w:val="20"/>
          <w:szCs w:val="20"/>
          <w:shd w:val="clear" w:color="auto" w:fill="FFFFFF"/>
        </w:rPr>
      </w:pPr>
    </w:p>
    <w:p w14:paraId="22D236B1" w14:textId="77777777" w:rsidR="002651EE" w:rsidRPr="00403E29" w:rsidRDefault="002651EE" w:rsidP="002651EE">
      <w:pPr>
        <w:pStyle w:val="ListParagraph"/>
        <w:numPr>
          <w:ilvl w:val="0"/>
          <w:numId w:val="10"/>
        </w:numPr>
        <w:rPr>
          <w:rFonts w:ascii="Arial" w:hAnsi="Arial" w:cs="Arial"/>
          <w:color w:val="222222"/>
          <w:sz w:val="20"/>
          <w:szCs w:val="20"/>
          <w:shd w:val="clear" w:color="auto" w:fill="FFFFFF"/>
        </w:rPr>
      </w:pPr>
      <w:r w:rsidRPr="00403E29">
        <w:rPr>
          <w:rFonts w:ascii="Arial" w:hAnsi="Arial" w:cs="Arial"/>
          <w:color w:val="222222"/>
          <w:sz w:val="20"/>
          <w:szCs w:val="20"/>
          <w:shd w:val="clear" w:color="auto" w:fill="FFFFFF"/>
        </w:rPr>
        <w:t>Curtis LH, Sola</w:t>
      </w:r>
      <w:r w:rsidRPr="00403E29">
        <w:rPr>
          <w:rFonts w:ascii="Cambria Math" w:hAnsi="Cambria Math" w:cs="Cambria Math"/>
          <w:color w:val="222222"/>
          <w:sz w:val="20"/>
          <w:szCs w:val="20"/>
          <w:shd w:val="clear" w:color="auto" w:fill="FFFFFF"/>
        </w:rPr>
        <w:t>‐</w:t>
      </w:r>
      <w:r w:rsidRPr="00403E29">
        <w:rPr>
          <w:rFonts w:ascii="Arial" w:hAnsi="Arial" w:cs="Arial"/>
          <w:color w:val="222222"/>
          <w:sz w:val="20"/>
          <w:szCs w:val="20"/>
          <w:shd w:val="clear" w:color="auto" w:fill="FFFFFF"/>
        </w:rPr>
        <w:t>Morales O, Heidt J, Saunders</w:t>
      </w:r>
      <w:r w:rsidRPr="00403E29">
        <w:rPr>
          <w:rFonts w:ascii="Cambria Math" w:hAnsi="Cambria Math" w:cs="Cambria Math"/>
          <w:color w:val="222222"/>
          <w:sz w:val="20"/>
          <w:szCs w:val="20"/>
          <w:shd w:val="clear" w:color="auto" w:fill="FFFFFF"/>
        </w:rPr>
        <w:t>‐</w:t>
      </w:r>
      <w:r w:rsidRPr="00403E29">
        <w:rPr>
          <w:rFonts w:ascii="Arial" w:hAnsi="Arial" w:cs="Arial"/>
          <w:color w:val="222222"/>
          <w:sz w:val="20"/>
          <w:szCs w:val="20"/>
          <w:shd w:val="clear" w:color="auto" w:fill="FFFFFF"/>
        </w:rPr>
        <w:t xml:space="preserve">Hastings P, Walsh L, Casso D, Oliveria S, Mercado T, </w:t>
      </w:r>
      <w:proofErr w:type="spellStart"/>
      <w:r w:rsidRPr="00403E29">
        <w:rPr>
          <w:rFonts w:ascii="Arial" w:hAnsi="Arial" w:cs="Arial"/>
          <w:color w:val="222222"/>
          <w:sz w:val="20"/>
          <w:szCs w:val="20"/>
          <w:shd w:val="clear" w:color="auto" w:fill="FFFFFF"/>
        </w:rPr>
        <w:t>Zusterzeel</w:t>
      </w:r>
      <w:proofErr w:type="spellEnd"/>
      <w:r w:rsidRPr="00403E29">
        <w:rPr>
          <w:rFonts w:ascii="Arial" w:hAnsi="Arial" w:cs="Arial"/>
          <w:color w:val="222222"/>
          <w:sz w:val="20"/>
          <w:szCs w:val="20"/>
          <w:shd w:val="clear" w:color="auto" w:fill="FFFFFF"/>
        </w:rPr>
        <w:t xml:space="preserve"> R, Sobel RE, Jalbert JJ. Regulatory and HTA considerations for development of real</w:t>
      </w:r>
      <w:r w:rsidRPr="00403E29">
        <w:rPr>
          <w:rFonts w:ascii="Cambria Math" w:hAnsi="Cambria Math" w:cs="Cambria Math"/>
          <w:color w:val="222222"/>
          <w:sz w:val="20"/>
          <w:szCs w:val="20"/>
          <w:shd w:val="clear" w:color="auto" w:fill="FFFFFF"/>
        </w:rPr>
        <w:t>‐</w:t>
      </w:r>
      <w:r w:rsidRPr="00403E29">
        <w:rPr>
          <w:rFonts w:ascii="Arial" w:hAnsi="Arial" w:cs="Arial"/>
          <w:color w:val="222222"/>
          <w:sz w:val="20"/>
          <w:szCs w:val="20"/>
          <w:shd w:val="clear" w:color="auto" w:fill="FFFFFF"/>
        </w:rPr>
        <w:t>world data derived external controls. Clinical Pharmacology &amp; Therapeutics. 2023 Aug;114(2):303-15.</w:t>
      </w:r>
    </w:p>
    <w:p w14:paraId="7588F49F" w14:textId="77777777" w:rsidR="002651EE" w:rsidRPr="00980F25" w:rsidRDefault="002651EE" w:rsidP="002651EE">
      <w:pPr>
        <w:rPr>
          <w:rFonts w:ascii="Arial" w:hAnsi="Arial" w:cs="Arial"/>
          <w:color w:val="222222"/>
          <w:sz w:val="20"/>
          <w:szCs w:val="20"/>
          <w:shd w:val="clear" w:color="auto" w:fill="FFFFFF"/>
        </w:rPr>
      </w:pPr>
    </w:p>
    <w:p w14:paraId="221D6D2D" w14:textId="77777777" w:rsidR="002651EE" w:rsidRDefault="002651EE" w:rsidP="002651EE">
      <w:pPr>
        <w:pStyle w:val="ListParagraph"/>
        <w:numPr>
          <w:ilvl w:val="0"/>
          <w:numId w:val="10"/>
        </w:numPr>
        <w:rPr>
          <w:rFonts w:ascii="Arial" w:hAnsi="Arial" w:cs="Arial"/>
          <w:color w:val="222222"/>
          <w:sz w:val="20"/>
          <w:szCs w:val="20"/>
          <w:shd w:val="clear" w:color="auto" w:fill="FFFFFF"/>
        </w:rPr>
      </w:pPr>
      <w:r>
        <w:rPr>
          <w:rFonts w:ascii="Arial" w:hAnsi="Arial" w:cs="Arial"/>
          <w:color w:val="222222"/>
          <w:sz w:val="20"/>
          <w:szCs w:val="20"/>
          <w:shd w:val="clear" w:color="auto" w:fill="FFFFFF"/>
        </w:rPr>
        <w:t>Nuño MM, Pugh SL, Ji L, Piao J, Dignam JJ, Steingrimsson JA. On the use of external controls in clinical trials. JNCI Monographs. 2025 Mar;2025(68):30-4.</w:t>
      </w:r>
    </w:p>
    <w:p w14:paraId="5DF22319" w14:textId="77777777" w:rsidR="002651EE" w:rsidRPr="009C4418" w:rsidRDefault="002651EE" w:rsidP="002651EE">
      <w:pPr>
        <w:ind w:left="360"/>
        <w:rPr>
          <w:rFonts w:ascii="Arial" w:hAnsi="Arial" w:cs="Arial"/>
          <w:color w:val="222222"/>
          <w:sz w:val="20"/>
          <w:szCs w:val="20"/>
          <w:shd w:val="clear" w:color="auto" w:fill="FFFFFF"/>
        </w:rPr>
      </w:pPr>
    </w:p>
    <w:p w14:paraId="2D39686D" w14:textId="77777777" w:rsidR="002651EE" w:rsidRPr="00403E29" w:rsidRDefault="002651EE" w:rsidP="002651EE">
      <w:pPr>
        <w:pStyle w:val="ListParagraph"/>
        <w:numPr>
          <w:ilvl w:val="0"/>
          <w:numId w:val="10"/>
        </w:numPr>
        <w:rPr>
          <w:rFonts w:ascii="Arial" w:hAnsi="Arial" w:cs="Arial"/>
          <w:color w:val="222222"/>
          <w:sz w:val="20"/>
          <w:szCs w:val="20"/>
          <w:shd w:val="clear" w:color="auto" w:fill="FFFFFF"/>
        </w:rPr>
      </w:pPr>
      <w:r w:rsidRPr="00403E29">
        <w:rPr>
          <w:rFonts w:ascii="Arial" w:hAnsi="Arial" w:cs="Arial"/>
          <w:color w:val="222222"/>
          <w:sz w:val="20"/>
          <w:szCs w:val="20"/>
          <w:shd w:val="clear" w:color="auto" w:fill="FFFFFF"/>
        </w:rPr>
        <w:t xml:space="preserve">Tudor BH, </w:t>
      </w:r>
      <w:proofErr w:type="spellStart"/>
      <w:r w:rsidRPr="00403E29">
        <w:rPr>
          <w:rFonts w:ascii="Arial" w:hAnsi="Arial" w:cs="Arial"/>
          <w:color w:val="222222"/>
          <w:sz w:val="20"/>
          <w:szCs w:val="20"/>
          <w:shd w:val="clear" w:color="auto" w:fill="FFFFFF"/>
        </w:rPr>
        <w:t>Shargo</w:t>
      </w:r>
      <w:proofErr w:type="spellEnd"/>
      <w:r w:rsidRPr="00403E29">
        <w:rPr>
          <w:rFonts w:ascii="Arial" w:hAnsi="Arial" w:cs="Arial"/>
          <w:color w:val="222222"/>
          <w:sz w:val="20"/>
          <w:szCs w:val="20"/>
          <w:shd w:val="clear" w:color="auto" w:fill="FFFFFF"/>
        </w:rPr>
        <w:t xml:space="preserve"> R, Gray GM, Fierstein JL, Kuo FH, Burton R, Johnson JT, Scully BB, Asante-</w:t>
      </w:r>
      <w:proofErr w:type="spellStart"/>
      <w:r w:rsidRPr="00403E29">
        <w:rPr>
          <w:rFonts w:ascii="Arial" w:hAnsi="Arial" w:cs="Arial"/>
          <w:color w:val="222222"/>
          <w:sz w:val="20"/>
          <w:szCs w:val="20"/>
          <w:shd w:val="clear" w:color="auto" w:fill="FFFFFF"/>
        </w:rPr>
        <w:t>Korang</w:t>
      </w:r>
      <w:proofErr w:type="spellEnd"/>
      <w:r w:rsidRPr="00403E29">
        <w:rPr>
          <w:rFonts w:ascii="Arial" w:hAnsi="Arial" w:cs="Arial"/>
          <w:color w:val="222222"/>
          <w:sz w:val="20"/>
          <w:szCs w:val="20"/>
          <w:shd w:val="clear" w:color="auto" w:fill="FFFFFF"/>
        </w:rPr>
        <w:t xml:space="preserve"> A, Rehman MA, Ahumada LM. A scoping review of human digital twins in healthcare applications and usage patterns. </w:t>
      </w:r>
      <w:proofErr w:type="spellStart"/>
      <w:r w:rsidRPr="00403E29">
        <w:rPr>
          <w:rFonts w:ascii="Arial" w:hAnsi="Arial" w:cs="Arial"/>
          <w:color w:val="222222"/>
          <w:sz w:val="20"/>
          <w:szCs w:val="20"/>
          <w:shd w:val="clear" w:color="auto" w:fill="FFFFFF"/>
        </w:rPr>
        <w:t>npj</w:t>
      </w:r>
      <w:proofErr w:type="spellEnd"/>
      <w:r w:rsidRPr="00403E29">
        <w:rPr>
          <w:rFonts w:ascii="Arial" w:hAnsi="Arial" w:cs="Arial"/>
          <w:color w:val="222222"/>
          <w:sz w:val="20"/>
          <w:szCs w:val="20"/>
          <w:shd w:val="clear" w:color="auto" w:fill="FFFFFF"/>
        </w:rPr>
        <w:t xml:space="preserve"> Digital Medicine. 2025 Sep 30;8(1):587.</w:t>
      </w:r>
    </w:p>
    <w:p w14:paraId="0E67D81F" w14:textId="77777777" w:rsidR="002651EE" w:rsidRDefault="002651EE" w:rsidP="002651EE">
      <w:pPr>
        <w:rPr>
          <w:rFonts w:ascii="Arial" w:hAnsi="Arial" w:cs="Arial"/>
          <w:color w:val="222222"/>
          <w:sz w:val="20"/>
          <w:szCs w:val="20"/>
          <w:shd w:val="clear" w:color="auto" w:fill="FFFFFF"/>
        </w:rPr>
      </w:pPr>
    </w:p>
    <w:p w14:paraId="40DACB6B" w14:textId="77777777" w:rsidR="002651EE" w:rsidRDefault="002651EE" w:rsidP="002651EE">
      <w:pPr>
        <w:pStyle w:val="ListParagraph"/>
        <w:numPr>
          <w:ilvl w:val="0"/>
          <w:numId w:val="10"/>
        </w:numPr>
        <w:rPr>
          <w:rFonts w:ascii="Arial" w:hAnsi="Arial" w:cs="Arial"/>
          <w:color w:val="222222"/>
          <w:sz w:val="20"/>
          <w:szCs w:val="20"/>
          <w:shd w:val="clear" w:color="auto" w:fill="FFFFFF"/>
        </w:rPr>
      </w:pPr>
      <w:r w:rsidRPr="00403E29">
        <w:rPr>
          <w:rFonts w:ascii="Arial" w:hAnsi="Arial" w:cs="Arial"/>
          <w:color w:val="222222"/>
          <w:sz w:val="20"/>
          <w:szCs w:val="20"/>
          <w:shd w:val="clear" w:color="auto" w:fill="FFFFFF"/>
        </w:rPr>
        <w:t xml:space="preserve">Pammi M, Shah PS, Yang LK, Hagan J, </w:t>
      </w:r>
      <w:proofErr w:type="spellStart"/>
      <w:r w:rsidRPr="00403E29">
        <w:rPr>
          <w:rFonts w:ascii="Arial" w:hAnsi="Arial" w:cs="Arial"/>
          <w:color w:val="222222"/>
          <w:sz w:val="20"/>
          <w:szCs w:val="20"/>
          <w:shd w:val="clear" w:color="auto" w:fill="FFFFFF"/>
        </w:rPr>
        <w:t>Aghaeepour</w:t>
      </w:r>
      <w:proofErr w:type="spellEnd"/>
      <w:r w:rsidRPr="00403E29">
        <w:rPr>
          <w:rFonts w:ascii="Arial" w:hAnsi="Arial" w:cs="Arial"/>
          <w:color w:val="222222"/>
          <w:sz w:val="20"/>
          <w:szCs w:val="20"/>
          <w:shd w:val="clear" w:color="auto" w:fill="FFFFFF"/>
        </w:rPr>
        <w:t xml:space="preserve"> N, Neu J. Digital twins, synthetic patient data, and in-silico trials: can they empower paediatric clinical trials?. The Lancet Digital Health. 2025 May 1;7(5).</w:t>
      </w:r>
    </w:p>
    <w:p w14:paraId="24BA9D84" w14:textId="77777777" w:rsidR="002651EE" w:rsidRPr="009C4418" w:rsidRDefault="002651EE" w:rsidP="002651EE">
      <w:pPr>
        <w:rPr>
          <w:rFonts w:ascii="Arial" w:hAnsi="Arial" w:cs="Arial"/>
          <w:color w:val="222222"/>
          <w:sz w:val="20"/>
          <w:szCs w:val="20"/>
          <w:shd w:val="clear" w:color="auto" w:fill="FFFFFF"/>
        </w:rPr>
      </w:pPr>
    </w:p>
    <w:p w14:paraId="26399C08" w14:textId="77777777" w:rsidR="002651EE" w:rsidRDefault="002651EE" w:rsidP="002651EE">
      <w:pPr>
        <w:pStyle w:val="ListParagraph"/>
        <w:numPr>
          <w:ilvl w:val="0"/>
          <w:numId w:val="10"/>
        </w:numPr>
      </w:pPr>
      <w:r w:rsidRPr="00403E29">
        <w:rPr>
          <w:rFonts w:ascii="Arial" w:hAnsi="Arial" w:cs="Arial"/>
          <w:color w:val="222222"/>
          <w:sz w:val="20"/>
          <w:szCs w:val="20"/>
          <w:shd w:val="clear" w:color="auto" w:fill="FFFFFF"/>
        </w:rPr>
        <w:t xml:space="preserve">[ ] Davi R, Majumdar A, </w:t>
      </w:r>
      <w:proofErr w:type="spellStart"/>
      <w:r w:rsidRPr="00403E29">
        <w:rPr>
          <w:rFonts w:ascii="Arial" w:hAnsi="Arial" w:cs="Arial"/>
          <w:color w:val="222222"/>
          <w:sz w:val="20"/>
          <w:szCs w:val="20"/>
          <w:shd w:val="clear" w:color="auto" w:fill="FFFFFF"/>
        </w:rPr>
        <w:t>Bexon</w:t>
      </w:r>
      <w:proofErr w:type="spellEnd"/>
      <w:r w:rsidRPr="00403E29">
        <w:rPr>
          <w:rFonts w:ascii="Arial" w:hAnsi="Arial" w:cs="Arial"/>
          <w:color w:val="222222"/>
          <w:sz w:val="20"/>
          <w:szCs w:val="20"/>
          <w:shd w:val="clear" w:color="auto" w:fill="FFFFFF"/>
        </w:rPr>
        <w:t xml:space="preserve"> M, </w:t>
      </w:r>
      <w:proofErr w:type="spellStart"/>
      <w:r w:rsidRPr="00403E29">
        <w:rPr>
          <w:rFonts w:ascii="Arial" w:hAnsi="Arial" w:cs="Arial"/>
          <w:color w:val="222222"/>
          <w:sz w:val="20"/>
          <w:szCs w:val="20"/>
          <w:shd w:val="clear" w:color="auto" w:fill="FFFFFF"/>
        </w:rPr>
        <w:t>Butowski</w:t>
      </w:r>
      <w:proofErr w:type="spellEnd"/>
      <w:r w:rsidRPr="00403E29">
        <w:rPr>
          <w:rFonts w:ascii="Arial" w:hAnsi="Arial" w:cs="Arial"/>
          <w:color w:val="222222"/>
          <w:sz w:val="20"/>
          <w:szCs w:val="20"/>
          <w:shd w:val="clear" w:color="auto" w:fill="FFFFFF"/>
        </w:rPr>
        <w:t xml:space="preserve"> N, </w:t>
      </w:r>
      <w:proofErr w:type="spellStart"/>
      <w:r w:rsidRPr="00403E29">
        <w:rPr>
          <w:rFonts w:ascii="Arial" w:hAnsi="Arial" w:cs="Arial"/>
          <w:color w:val="222222"/>
          <w:sz w:val="20"/>
          <w:szCs w:val="20"/>
          <w:shd w:val="clear" w:color="auto" w:fill="FFFFFF"/>
        </w:rPr>
        <w:t>Chandhasin</w:t>
      </w:r>
      <w:proofErr w:type="spellEnd"/>
      <w:r w:rsidRPr="00403E29">
        <w:rPr>
          <w:rFonts w:ascii="Arial" w:hAnsi="Arial" w:cs="Arial"/>
          <w:color w:val="222222"/>
          <w:sz w:val="20"/>
          <w:szCs w:val="20"/>
          <w:shd w:val="clear" w:color="auto" w:fill="FFFFFF"/>
        </w:rPr>
        <w:t xml:space="preserve"> C, Coello M, Das S, Merchant F, Merchant N, Reardon D, Roessner M. CLRM-09. Incorporating external control arm in MDNA55 recurrent glioblastoma registration trial. Neuro-oncology Advances. 2021 Sep 21;3(</w:t>
      </w:r>
      <w:proofErr w:type="spellStart"/>
      <w:r w:rsidRPr="00403E29">
        <w:rPr>
          <w:rFonts w:ascii="Arial" w:hAnsi="Arial" w:cs="Arial"/>
          <w:color w:val="222222"/>
          <w:sz w:val="20"/>
          <w:szCs w:val="20"/>
          <w:shd w:val="clear" w:color="auto" w:fill="FFFFFF"/>
        </w:rPr>
        <w:t>Suppl</w:t>
      </w:r>
      <w:proofErr w:type="spellEnd"/>
      <w:r w:rsidRPr="00403E29">
        <w:rPr>
          <w:rFonts w:ascii="Arial" w:hAnsi="Arial" w:cs="Arial"/>
          <w:color w:val="222222"/>
          <w:sz w:val="20"/>
          <w:szCs w:val="20"/>
          <w:shd w:val="clear" w:color="auto" w:fill="FFFFFF"/>
        </w:rPr>
        <w:t xml:space="preserve"> 4):iv3.</w:t>
      </w:r>
    </w:p>
    <w:p w14:paraId="0B23B8E6" w14:textId="77777777" w:rsidR="002651EE" w:rsidRDefault="002651EE" w:rsidP="002651EE"/>
    <w:p w14:paraId="747908CC" w14:textId="77777777" w:rsidR="002651EE" w:rsidRDefault="002651EE" w:rsidP="002651EE">
      <w:pPr>
        <w:pStyle w:val="ListParagraph"/>
        <w:numPr>
          <w:ilvl w:val="0"/>
          <w:numId w:val="10"/>
        </w:numPr>
      </w:pPr>
      <w:r w:rsidRPr="00403E29">
        <w:rPr>
          <w:rFonts w:ascii="Arial" w:hAnsi="Arial" w:cs="Arial"/>
          <w:color w:val="222222"/>
          <w:sz w:val="20"/>
          <w:szCs w:val="20"/>
          <w:shd w:val="clear" w:color="auto" w:fill="FFFFFF"/>
        </w:rPr>
        <w:t xml:space="preserve">[ ] Davies J, Martinec M, Delmar P, Coudert M, Bordogna W, Golding S, Martina R, Crane G. Comparative effectiveness from a single-arm trial and real-world data: </w:t>
      </w:r>
      <w:proofErr w:type="spellStart"/>
      <w:r w:rsidRPr="00403E29">
        <w:rPr>
          <w:rFonts w:ascii="Arial" w:hAnsi="Arial" w:cs="Arial"/>
          <w:color w:val="222222"/>
          <w:sz w:val="20"/>
          <w:szCs w:val="20"/>
          <w:shd w:val="clear" w:color="auto" w:fill="FFFFFF"/>
        </w:rPr>
        <w:t>alectinib</w:t>
      </w:r>
      <w:proofErr w:type="spellEnd"/>
      <w:r w:rsidRPr="00403E29">
        <w:rPr>
          <w:rFonts w:ascii="Arial" w:hAnsi="Arial" w:cs="Arial"/>
          <w:color w:val="222222"/>
          <w:sz w:val="20"/>
          <w:szCs w:val="20"/>
          <w:shd w:val="clear" w:color="auto" w:fill="FFFFFF"/>
        </w:rPr>
        <w:t xml:space="preserve"> versus </w:t>
      </w:r>
      <w:proofErr w:type="spellStart"/>
      <w:r w:rsidRPr="00403E29">
        <w:rPr>
          <w:rFonts w:ascii="Arial" w:hAnsi="Arial" w:cs="Arial"/>
          <w:color w:val="222222"/>
          <w:sz w:val="20"/>
          <w:szCs w:val="20"/>
          <w:shd w:val="clear" w:color="auto" w:fill="FFFFFF"/>
        </w:rPr>
        <w:t>ceritinib</w:t>
      </w:r>
      <w:proofErr w:type="spellEnd"/>
      <w:r w:rsidRPr="00403E29">
        <w:rPr>
          <w:rFonts w:ascii="Arial" w:hAnsi="Arial" w:cs="Arial"/>
          <w:color w:val="222222"/>
          <w:sz w:val="20"/>
          <w:szCs w:val="20"/>
          <w:shd w:val="clear" w:color="auto" w:fill="FFFFFF"/>
        </w:rPr>
        <w:t>. Journal of comparative effectiveness research. 2018 Sep;7(09):855-65.</w:t>
      </w:r>
    </w:p>
    <w:p w14:paraId="6253719E" w14:textId="77777777" w:rsidR="002651EE" w:rsidRDefault="002651EE" w:rsidP="002651EE">
      <w:pPr>
        <w:rPr>
          <w:rFonts w:ascii="Arial" w:hAnsi="Arial" w:cs="Arial"/>
          <w:color w:val="222222"/>
          <w:sz w:val="20"/>
          <w:szCs w:val="20"/>
          <w:shd w:val="clear" w:color="auto" w:fill="FFFFFF"/>
        </w:rPr>
      </w:pPr>
    </w:p>
    <w:p w14:paraId="363AAFD0" w14:textId="77777777" w:rsidR="002651EE" w:rsidRPr="00403E29" w:rsidRDefault="002651EE" w:rsidP="002651EE">
      <w:pPr>
        <w:pStyle w:val="ListParagraph"/>
        <w:numPr>
          <w:ilvl w:val="0"/>
          <w:numId w:val="10"/>
        </w:numPr>
        <w:rPr>
          <w:rFonts w:ascii="Arial" w:hAnsi="Arial" w:cs="Arial"/>
          <w:color w:val="222222"/>
          <w:sz w:val="20"/>
          <w:szCs w:val="20"/>
          <w:shd w:val="clear" w:color="auto" w:fill="FFFFFF"/>
        </w:rPr>
      </w:pPr>
      <w:r w:rsidRPr="00403E29">
        <w:rPr>
          <w:rFonts w:ascii="Arial" w:hAnsi="Arial" w:cs="Arial"/>
          <w:color w:val="222222"/>
          <w:sz w:val="20"/>
          <w:szCs w:val="20"/>
          <w:shd w:val="clear" w:color="auto" w:fill="FFFFFF"/>
        </w:rPr>
        <w:t xml:space="preserve">[ ] Abadie A, Diamond A, </w:t>
      </w:r>
      <w:proofErr w:type="spellStart"/>
      <w:r w:rsidRPr="00403E29">
        <w:rPr>
          <w:rFonts w:ascii="Arial" w:hAnsi="Arial" w:cs="Arial"/>
          <w:color w:val="222222"/>
          <w:sz w:val="20"/>
          <w:szCs w:val="20"/>
          <w:shd w:val="clear" w:color="auto" w:fill="FFFFFF"/>
        </w:rPr>
        <w:t>Hainmueller</w:t>
      </w:r>
      <w:proofErr w:type="spellEnd"/>
      <w:r w:rsidRPr="00403E29">
        <w:rPr>
          <w:rFonts w:ascii="Arial" w:hAnsi="Arial" w:cs="Arial"/>
          <w:color w:val="222222"/>
          <w:sz w:val="20"/>
          <w:szCs w:val="20"/>
          <w:shd w:val="clear" w:color="auto" w:fill="FFFFFF"/>
        </w:rPr>
        <w:t xml:space="preserve"> J. Synthetic control methods for comparative case studies: Estimating the effect of California’s tobacco control program. Journal of the American statistical Association. 2010 Jun 1;105(490):493-505.</w:t>
      </w:r>
    </w:p>
    <w:p w14:paraId="04778A3E" w14:textId="77777777" w:rsidR="002651EE" w:rsidRDefault="002651EE" w:rsidP="002651EE">
      <w:pPr>
        <w:rPr>
          <w:rFonts w:ascii="Arial" w:hAnsi="Arial" w:cs="Arial"/>
          <w:color w:val="222222"/>
          <w:sz w:val="20"/>
          <w:szCs w:val="20"/>
          <w:shd w:val="clear" w:color="auto" w:fill="FFFFFF"/>
        </w:rPr>
      </w:pPr>
    </w:p>
    <w:p w14:paraId="78FF3187" w14:textId="77777777" w:rsidR="002651EE" w:rsidRPr="00403E29" w:rsidRDefault="002651EE" w:rsidP="002651EE">
      <w:pPr>
        <w:pStyle w:val="ListParagraph"/>
        <w:numPr>
          <w:ilvl w:val="0"/>
          <w:numId w:val="10"/>
        </w:numPr>
        <w:rPr>
          <w:rFonts w:ascii="Arial" w:hAnsi="Arial" w:cs="Arial"/>
          <w:color w:val="222222"/>
          <w:sz w:val="20"/>
          <w:szCs w:val="20"/>
          <w:shd w:val="clear" w:color="auto" w:fill="FFFFFF"/>
        </w:rPr>
      </w:pPr>
      <w:r w:rsidRPr="00403E29">
        <w:rPr>
          <w:rFonts w:ascii="Arial" w:hAnsi="Arial" w:cs="Arial"/>
          <w:color w:val="222222"/>
          <w:sz w:val="20"/>
          <w:szCs w:val="20"/>
          <w:shd w:val="clear" w:color="auto" w:fill="FFFFFF"/>
        </w:rPr>
        <w:t>[ ] Abadie A. Using synthetic controls: Feasibility, data requirements, and methodological aspects. Journal of economic literature. 2021 Jun 1;59(2):391-425.</w:t>
      </w:r>
    </w:p>
    <w:p w14:paraId="711C1368" w14:textId="77777777" w:rsidR="002651EE" w:rsidRDefault="002651EE" w:rsidP="002651EE"/>
    <w:p w14:paraId="5D21774A" w14:textId="77777777" w:rsidR="002651EE" w:rsidRPr="00403E29" w:rsidRDefault="002651EE" w:rsidP="002651EE">
      <w:pPr>
        <w:pStyle w:val="ListParagraph"/>
        <w:numPr>
          <w:ilvl w:val="0"/>
          <w:numId w:val="10"/>
        </w:numPr>
        <w:rPr>
          <w:rFonts w:ascii="Arial" w:hAnsi="Arial" w:cs="Arial"/>
          <w:color w:val="222222"/>
          <w:sz w:val="20"/>
          <w:szCs w:val="20"/>
          <w:shd w:val="clear" w:color="auto" w:fill="FFFFFF"/>
        </w:rPr>
      </w:pPr>
      <w:r w:rsidRPr="00403E29">
        <w:rPr>
          <w:rFonts w:ascii="Arial" w:hAnsi="Arial" w:cs="Arial"/>
          <w:color w:val="222222"/>
          <w:sz w:val="20"/>
          <w:szCs w:val="20"/>
          <w:shd w:val="clear" w:color="auto" w:fill="FFFFFF"/>
        </w:rPr>
        <w:t>[ ] Thorlund K, Dron L, Park JJ, Mills EJ. Synthetic and external controls in clinical trials–a primer for researchers. Clinical epidemiology. 2020 May 8:457-67.</w:t>
      </w:r>
    </w:p>
    <w:p w14:paraId="67EA2B1F" w14:textId="77777777" w:rsidR="002651EE" w:rsidRDefault="002651EE" w:rsidP="002651EE">
      <w:pPr>
        <w:rPr>
          <w:rFonts w:ascii="Arial" w:hAnsi="Arial" w:cs="Arial"/>
          <w:color w:val="222222"/>
          <w:sz w:val="20"/>
          <w:szCs w:val="20"/>
          <w:shd w:val="clear" w:color="auto" w:fill="FFFFFF"/>
        </w:rPr>
      </w:pPr>
    </w:p>
    <w:p w14:paraId="1D852AEA" w14:textId="77777777" w:rsidR="002651EE" w:rsidRDefault="002651EE" w:rsidP="002651EE">
      <w:pPr>
        <w:pStyle w:val="ListParagraph"/>
        <w:numPr>
          <w:ilvl w:val="0"/>
          <w:numId w:val="10"/>
        </w:numPr>
        <w:rPr>
          <w:rFonts w:ascii="Arial" w:hAnsi="Arial" w:cs="Arial"/>
          <w:color w:val="222222"/>
          <w:sz w:val="20"/>
          <w:szCs w:val="20"/>
          <w:shd w:val="clear" w:color="auto" w:fill="FFFFFF"/>
        </w:rPr>
      </w:pPr>
      <w:r w:rsidRPr="00403E29">
        <w:rPr>
          <w:rFonts w:ascii="Arial" w:hAnsi="Arial" w:cs="Arial"/>
          <w:color w:val="222222"/>
          <w:sz w:val="20"/>
          <w:szCs w:val="20"/>
          <w:shd w:val="clear" w:color="auto" w:fill="FFFFFF"/>
        </w:rPr>
        <w:t xml:space="preserve">[ ] </w:t>
      </w:r>
      <w:proofErr w:type="spellStart"/>
      <w:r w:rsidRPr="00403E29">
        <w:rPr>
          <w:rFonts w:ascii="Arial" w:hAnsi="Arial" w:cs="Arial"/>
          <w:color w:val="222222"/>
          <w:sz w:val="20"/>
          <w:szCs w:val="20"/>
          <w:shd w:val="clear" w:color="auto" w:fill="FFFFFF"/>
        </w:rPr>
        <w:t>Tessoulin</w:t>
      </w:r>
      <w:proofErr w:type="spellEnd"/>
      <w:r w:rsidRPr="00403E29">
        <w:rPr>
          <w:rFonts w:ascii="Arial" w:hAnsi="Arial" w:cs="Arial"/>
          <w:color w:val="222222"/>
          <w:sz w:val="20"/>
          <w:szCs w:val="20"/>
          <w:shd w:val="clear" w:color="auto" w:fill="FFFFFF"/>
        </w:rPr>
        <w:t xml:space="preserve"> B, LETAILLEUR V, </w:t>
      </w:r>
      <w:proofErr w:type="spellStart"/>
      <w:r w:rsidRPr="00403E29">
        <w:rPr>
          <w:rFonts w:ascii="Arial" w:hAnsi="Arial" w:cs="Arial"/>
          <w:color w:val="222222"/>
          <w:sz w:val="20"/>
          <w:szCs w:val="20"/>
          <w:shd w:val="clear" w:color="auto" w:fill="FFFFFF"/>
        </w:rPr>
        <w:t>Chaillol</w:t>
      </w:r>
      <w:proofErr w:type="spellEnd"/>
      <w:r w:rsidRPr="00403E29">
        <w:rPr>
          <w:rFonts w:ascii="Arial" w:hAnsi="Arial" w:cs="Arial"/>
          <w:color w:val="222222"/>
          <w:sz w:val="20"/>
          <w:szCs w:val="20"/>
          <w:shd w:val="clear" w:color="auto" w:fill="FFFFFF"/>
        </w:rPr>
        <w:t xml:space="preserve"> I, </w:t>
      </w:r>
      <w:proofErr w:type="spellStart"/>
      <w:r w:rsidRPr="00403E29">
        <w:rPr>
          <w:rFonts w:ascii="Arial" w:hAnsi="Arial" w:cs="Arial"/>
          <w:color w:val="222222"/>
          <w:sz w:val="20"/>
          <w:szCs w:val="20"/>
          <w:shd w:val="clear" w:color="auto" w:fill="FFFFFF"/>
        </w:rPr>
        <w:t>Cherblanc</w:t>
      </w:r>
      <w:proofErr w:type="spellEnd"/>
      <w:r w:rsidRPr="00403E29">
        <w:rPr>
          <w:rFonts w:ascii="Arial" w:hAnsi="Arial" w:cs="Arial"/>
          <w:color w:val="222222"/>
          <w:sz w:val="20"/>
          <w:szCs w:val="20"/>
          <w:shd w:val="clear" w:color="auto" w:fill="FFFFFF"/>
        </w:rPr>
        <w:t xml:space="preserve"> F, </w:t>
      </w:r>
      <w:proofErr w:type="spellStart"/>
      <w:r w:rsidRPr="00403E29">
        <w:rPr>
          <w:rFonts w:ascii="Arial" w:hAnsi="Arial" w:cs="Arial"/>
          <w:color w:val="222222"/>
          <w:sz w:val="20"/>
          <w:szCs w:val="20"/>
          <w:shd w:val="clear" w:color="auto" w:fill="FFFFFF"/>
        </w:rPr>
        <w:t>Ghesquières</w:t>
      </w:r>
      <w:proofErr w:type="spellEnd"/>
      <w:r w:rsidRPr="00403E29">
        <w:rPr>
          <w:rFonts w:ascii="Arial" w:hAnsi="Arial" w:cs="Arial"/>
          <w:color w:val="222222"/>
          <w:sz w:val="20"/>
          <w:szCs w:val="20"/>
          <w:shd w:val="clear" w:color="auto" w:fill="FFFFFF"/>
        </w:rPr>
        <w:t xml:space="preserve"> H, </w:t>
      </w:r>
      <w:proofErr w:type="spellStart"/>
      <w:r w:rsidRPr="00403E29">
        <w:rPr>
          <w:rFonts w:ascii="Arial" w:hAnsi="Arial" w:cs="Arial"/>
          <w:color w:val="222222"/>
          <w:sz w:val="20"/>
          <w:szCs w:val="20"/>
          <w:shd w:val="clear" w:color="auto" w:fill="FFFFFF"/>
        </w:rPr>
        <w:t>Peyrade</w:t>
      </w:r>
      <w:proofErr w:type="spellEnd"/>
      <w:r w:rsidRPr="00403E29">
        <w:rPr>
          <w:rFonts w:ascii="Arial" w:hAnsi="Arial" w:cs="Arial"/>
          <w:color w:val="222222"/>
          <w:sz w:val="20"/>
          <w:szCs w:val="20"/>
          <w:shd w:val="clear" w:color="auto" w:fill="FFFFFF"/>
        </w:rPr>
        <w:t xml:space="preserve"> F, </w:t>
      </w:r>
      <w:proofErr w:type="spellStart"/>
      <w:r w:rsidRPr="00403E29">
        <w:rPr>
          <w:rFonts w:ascii="Arial" w:hAnsi="Arial" w:cs="Arial"/>
          <w:color w:val="222222"/>
          <w:sz w:val="20"/>
          <w:szCs w:val="20"/>
          <w:shd w:val="clear" w:color="auto" w:fill="FFFFFF"/>
        </w:rPr>
        <w:t>Guidez</w:t>
      </w:r>
      <w:proofErr w:type="spellEnd"/>
      <w:r w:rsidRPr="00403E29">
        <w:rPr>
          <w:rFonts w:ascii="Arial" w:hAnsi="Arial" w:cs="Arial"/>
          <w:color w:val="222222"/>
          <w:sz w:val="20"/>
          <w:szCs w:val="20"/>
          <w:shd w:val="clear" w:color="auto" w:fill="FFFFFF"/>
        </w:rPr>
        <w:t xml:space="preserve"> S, Bijou F, </w:t>
      </w:r>
      <w:proofErr w:type="spellStart"/>
      <w:r w:rsidRPr="00403E29">
        <w:rPr>
          <w:rFonts w:ascii="Arial" w:hAnsi="Arial" w:cs="Arial"/>
          <w:color w:val="222222"/>
          <w:sz w:val="20"/>
          <w:szCs w:val="20"/>
          <w:shd w:val="clear" w:color="auto" w:fill="FFFFFF"/>
        </w:rPr>
        <w:t>Sesques</w:t>
      </w:r>
      <w:proofErr w:type="spellEnd"/>
      <w:r w:rsidRPr="00403E29">
        <w:rPr>
          <w:rFonts w:ascii="Arial" w:hAnsi="Arial" w:cs="Arial"/>
          <w:color w:val="222222"/>
          <w:sz w:val="20"/>
          <w:szCs w:val="20"/>
          <w:shd w:val="clear" w:color="auto" w:fill="FFFFFF"/>
        </w:rPr>
        <w:t xml:space="preserve"> P, Rossi C, </w:t>
      </w:r>
      <w:proofErr w:type="spellStart"/>
      <w:r w:rsidRPr="00403E29">
        <w:rPr>
          <w:rFonts w:ascii="Arial" w:hAnsi="Arial" w:cs="Arial"/>
          <w:color w:val="222222"/>
          <w:sz w:val="20"/>
          <w:szCs w:val="20"/>
          <w:shd w:val="clear" w:color="auto" w:fill="FFFFFF"/>
        </w:rPr>
        <w:t>Fornecker</w:t>
      </w:r>
      <w:proofErr w:type="spellEnd"/>
      <w:r w:rsidRPr="00403E29">
        <w:rPr>
          <w:rFonts w:ascii="Arial" w:hAnsi="Arial" w:cs="Arial"/>
          <w:color w:val="222222"/>
          <w:sz w:val="20"/>
          <w:szCs w:val="20"/>
          <w:shd w:val="clear" w:color="auto" w:fill="FFFFFF"/>
        </w:rPr>
        <w:t xml:space="preserve"> LM. Synthetic control arm from mixed clinical trials and real-world data from LYSA group for untreated diffuse large B cell lymphoma patients aged over 80 years: a bona fide strategy for innovative clinical trials.</w:t>
      </w:r>
    </w:p>
    <w:p w14:paraId="18CC2701" w14:textId="77777777" w:rsidR="002651EE" w:rsidRDefault="002651EE" w:rsidP="002651EE">
      <w:pPr>
        <w:rPr>
          <w:rFonts w:ascii="Arial" w:hAnsi="Arial" w:cs="Arial"/>
          <w:color w:val="222222"/>
          <w:sz w:val="20"/>
          <w:szCs w:val="20"/>
          <w:shd w:val="clear" w:color="auto" w:fill="FFFFFF"/>
        </w:rPr>
      </w:pPr>
    </w:p>
    <w:p w14:paraId="6B011C97" w14:textId="77777777" w:rsidR="002651EE" w:rsidRDefault="002651EE" w:rsidP="002651EE">
      <w:pPr>
        <w:pStyle w:val="ListParagraph"/>
        <w:numPr>
          <w:ilvl w:val="0"/>
          <w:numId w:val="10"/>
        </w:numPr>
        <w:rPr>
          <w:rFonts w:ascii="Arial" w:hAnsi="Arial" w:cs="Arial"/>
          <w:color w:val="222222"/>
          <w:sz w:val="20"/>
          <w:szCs w:val="20"/>
          <w:shd w:val="clear" w:color="auto" w:fill="FFFFFF"/>
        </w:rPr>
      </w:pPr>
      <w:r w:rsidRPr="00403E29">
        <w:rPr>
          <w:rFonts w:ascii="Arial" w:hAnsi="Arial" w:cs="Arial"/>
          <w:color w:val="222222"/>
          <w:sz w:val="20"/>
          <w:szCs w:val="20"/>
          <w:shd w:val="clear" w:color="auto" w:fill="FFFFFF"/>
        </w:rPr>
        <w:t xml:space="preserve">[ ] Jackson R, Johnson P, Berhane S, </w:t>
      </w:r>
      <w:proofErr w:type="spellStart"/>
      <w:r w:rsidRPr="00403E29">
        <w:rPr>
          <w:rFonts w:ascii="Arial" w:hAnsi="Arial" w:cs="Arial"/>
          <w:color w:val="222222"/>
          <w:sz w:val="20"/>
          <w:szCs w:val="20"/>
          <w:shd w:val="clear" w:color="auto" w:fill="FFFFFF"/>
        </w:rPr>
        <w:t>Kolamunnage</w:t>
      </w:r>
      <w:proofErr w:type="spellEnd"/>
      <w:r w:rsidRPr="00403E29">
        <w:rPr>
          <w:rFonts w:ascii="Arial" w:hAnsi="Arial" w:cs="Arial"/>
          <w:color w:val="222222"/>
          <w:sz w:val="20"/>
          <w:szCs w:val="20"/>
          <w:shd w:val="clear" w:color="auto" w:fill="FFFFFF"/>
        </w:rPr>
        <w:t>-Dona R, Hughes D, Dodd S, Neoptolemos J, Palmer D, Cox T. Estimating treatment effects using parametric models as counter-factual evidence. BMC medical research methodology. 2025 Apr 9;25(1):91.</w:t>
      </w:r>
    </w:p>
    <w:p w14:paraId="24B2B4C8" w14:textId="77777777" w:rsidR="002651EE" w:rsidRPr="002651EE" w:rsidRDefault="002651EE" w:rsidP="002651EE">
      <w:pPr>
        <w:pStyle w:val="ListParagraph"/>
        <w:rPr>
          <w:rFonts w:ascii="Arial" w:hAnsi="Arial" w:cs="Arial"/>
          <w:color w:val="222222"/>
          <w:sz w:val="20"/>
          <w:szCs w:val="20"/>
          <w:shd w:val="clear" w:color="auto" w:fill="FFFFFF"/>
        </w:rPr>
      </w:pPr>
    </w:p>
    <w:p w14:paraId="76CE3418" w14:textId="77777777" w:rsidR="002651EE" w:rsidRPr="002651EE" w:rsidRDefault="002651EE" w:rsidP="002651EE">
      <w:pPr>
        <w:pStyle w:val="ListParagraph"/>
        <w:numPr>
          <w:ilvl w:val="0"/>
          <w:numId w:val="10"/>
        </w:numPr>
        <w:rPr>
          <w:rFonts w:ascii="Arial" w:hAnsi="Arial" w:cs="Arial"/>
          <w:color w:val="222222"/>
          <w:sz w:val="20"/>
          <w:szCs w:val="20"/>
          <w:shd w:val="clear" w:color="auto" w:fill="FFFFFF"/>
        </w:rPr>
      </w:pPr>
      <w:r w:rsidRPr="00403E29">
        <w:rPr>
          <w:rFonts w:ascii="Arial" w:hAnsi="Arial" w:cs="Arial"/>
          <w:color w:val="222222"/>
          <w:sz w:val="20"/>
          <w:szCs w:val="20"/>
          <w:shd w:val="clear" w:color="auto" w:fill="FFFFFF"/>
        </w:rPr>
        <w:t xml:space="preserve">[ ] Boyer CB, </w:t>
      </w:r>
      <w:proofErr w:type="spellStart"/>
      <w:r w:rsidRPr="00403E29">
        <w:rPr>
          <w:rFonts w:ascii="Arial" w:hAnsi="Arial" w:cs="Arial"/>
          <w:color w:val="222222"/>
          <w:sz w:val="20"/>
          <w:szCs w:val="20"/>
          <w:shd w:val="clear" w:color="auto" w:fill="FFFFFF"/>
        </w:rPr>
        <w:t>Dahabreh</w:t>
      </w:r>
      <w:proofErr w:type="spellEnd"/>
      <w:r w:rsidRPr="00403E29">
        <w:rPr>
          <w:rFonts w:ascii="Arial" w:hAnsi="Arial" w:cs="Arial"/>
          <w:color w:val="222222"/>
          <w:sz w:val="20"/>
          <w:szCs w:val="20"/>
          <w:shd w:val="clear" w:color="auto" w:fill="FFFFFF"/>
        </w:rPr>
        <w:t xml:space="preserve"> IJ, Steingrimsson JA. Estimating and evaluating counterfactual prediction models. Statistics in Medicine. 2025 Oct;44(23-24):e70287. </w:t>
      </w:r>
    </w:p>
    <w:p w14:paraId="5FB17BF2" w14:textId="77777777" w:rsidR="002651EE" w:rsidRDefault="002651EE" w:rsidP="002651EE"/>
    <w:p w14:paraId="36ECDD17" w14:textId="77777777" w:rsidR="002651EE" w:rsidRPr="00403E29" w:rsidRDefault="002651EE" w:rsidP="002651EE">
      <w:pPr>
        <w:pStyle w:val="ListParagraph"/>
        <w:numPr>
          <w:ilvl w:val="0"/>
          <w:numId w:val="10"/>
        </w:numPr>
        <w:rPr>
          <w:rFonts w:ascii="Arial" w:hAnsi="Arial" w:cs="Arial"/>
          <w:color w:val="222222"/>
          <w:sz w:val="20"/>
          <w:szCs w:val="20"/>
          <w:shd w:val="clear" w:color="auto" w:fill="FFFFFF"/>
        </w:rPr>
      </w:pPr>
      <w:r>
        <w:t xml:space="preserve">[ ] </w:t>
      </w:r>
      <w:proofErr w:type="spellStart"/>
      <w:r w:rsidRPr="00403E29">
        <w:rPr>
          <w:rFonts w:ascii="Arial" w:hAnsi="Arial" w:cs="Arial"/>
          <w:color w:val="222222"/>
          <w:sz w:val="20"/>
          <w:szCs w:val="20"/>
          <w:shd w:val="clear" w:color="auto" w:fill="FFFFFF"/>
        </w:rPr>
        <w:t>Cucherat</w:t>
      </w:r>
      <w:proofErr w:type="spellEnd"/>
      <w:r w:rsidRPr="00403E29">
        <w:rPr>
          <w:rFonts w:ascii="Arial" w:hAnsi="Arial" w:cs="Arial"/>
          <w:color w:val="222222"/>
          <w:sz w:val="20"/>
          <w:szCs w:val="20"/>
          <w:shd w:val="clear" w:color="auto" w:fill="FFFFFF"/>
        </w:rPr>
        <w:t xml:space="preserve"> M, Laporte S, </w:t>
      </w:r>
      <w:proofErr w:type="spellStart"/>
      <w:r w:rsidRPr="00403E29">
        <w:rPr>
          <w:rFonts w:ascii="Arial" w:hAnsi="Arial" w:cs="Arial"/>
          <w:color w:val="222222"/>
          <w:sz w:val="20"/>
          <w:szCs w:val="20"/>
          <w:shd w:val="clear" w:color="auto" w:fill="FFFFFF"/>
        </w:rPr>
        <w:t>Delaitre</w:t>
      </w:r>
      <w:proofErr w:type="spellEnd"/>
      <w:r w:rsidRPr="00403E29">
        <w:rPr>
          <w:rFonts w:ascii="Arial" w:hAnsi="Arial" w:cs="Arial"/>
          <w:color w:val="222222"/>
          <w:sz w:val="20"/>
          <w:szCs w:val="20"/>
          <w:shd w:val="clear" w:color="auto" w:fill="FFFFFF"/>
        </w:rPr>
        <w:t xml:space="preserve"> O, </w:t>
      </w:r>
      <w:proofErr w:type="spellStart"/>
      <w:r w:rsidRPr="00403E29">
        <w:rPr>
          <w:rFonts w:ascii="Arial" w:hAnsi="Arial" w:cs="Arial"/>
          <w:color w:val="222222"/>
          <w:sz w:val="20"/>
          <w:szCs w:val="20"/>
          <w:shd w:val="clear" w:color="auto" w:fill="FFFFFF"/>
        </w:rPr>
        <w:t>Behier</w:t>
      </w:r>
      <w:proofErr w:type="spellEnd"/>
      <w:r w:rsidRPr="00403E29">
        <w:rPr>
          <w:rFonts w:ascii="Arial" w:hAnsi="Arial" w:cs="Arial"/>
          <w:color w:val="222222"/>
          <w:sz w:val="20"/>
          <w:szCs w:val="20"/>
          <w:shd w:val="clear" w:color="auto" w:fill="FFFFFF"/>
        </w:rPr>
        <w:t xml:space="preserve"> JM, </w:t>
      </w:r>
      <w:proofErr w:type="spellStart"/>
      <w:r w:rsidRPr="00403E29">
        <w:rPr>
          <w:rFonts w:ascii="Arial" w:hAnsi="Arial" w:cs="Arial"/>
          <w:color w:val="222222"/>
          <w:sz w:val="20"/>
          <w:szCs w:val="20"/>
          <w:shd w:val="clear" w:color="auto" w:fill="FFFFFF"/>
        </w:rPr>
        <w:t>d’Andon</w:t>
      </w:r>
      <w:proofErr w:type="spellEnd"/>
      <w:r w:rsidRPr="00403E29">
        <w:rPr>
          <w:rFonts w:ascii="Arial" w:hAnsi="Arial" w:cs="Arial"/>
          <w:color w:val="222222"/>
          <w:sz w:val="20"/>
          <w:szCs w:val="20"/>
          <w:shd w:val="clear" w:color="auto" w:fill="FFFFFF"/>
        </w:rPr>
        <w:t xml:space="preserve"> A, </w:t>
      </w:r>
      <w:proofErr w:type="spellStart"/>
      <w:r w:rsidRPr="00403E29">
        <w:rPr>
          <w:rFonts w:ascii="Arial" w:hAnsi="Arial" w:cs="Arial"/>
          <w:color w:val="222222"/>
          <w:sz w:val="20"/>
          <w:szCs w:val="20"/>
          <w:shd w:val="clear" w:color="auto" w:fill="FFFFFF"/>
        </w:rPr>
        <w:t>Binlich</w:t>
      </w:r>
      <w:proofErr w:type="spellEnd"/>
      <w:r w:rsidRPr="00403E29">
        <w:rPr>
          <w:rFonts w:ascii="Arial" w:hAnsi="Arial" w:cs="Arial"/>
          <w:color w:val="222222"/>
          <w:sz w:val="20"/>
          <w:szCs w:val="20"/>
          <w:shd w:val="clear" w:color="auto" w:fill="FFFFFF"/>
        </w:rPr>
        <w:t xml:space="preserve"> F, Bureau S, Cornu C, </w:t>
      </w:r>
      <w:proofErr w:type="spellStart"/>
      <w:r w:rsidRPr="00403E29">
        <w:rPr>
          <w:rFonts w:ascii="Arial" w:hAnsi="Arial" w:cs="Arial"/>
          <w:color w:val="222222"/>
          <w:sz w:val="20"/>
          <w:szCs w:val="20"/>
          <w:shd w:val="clear" w:color="auto" w:fill="FFFFFF"/>
        </w:rPr>
        <w:t>Fouret</w:t>
      </w:r>
      <w:proofErr w:type="spellEnd"/>
      <w:r w:rsidRPr="00403E29">
        <w:rPr>
          <w:rFonts w:ascii="Arial" w:hAnsi="Arial" w:cs="Arial"/>
          <w:color w:val="222222"/>
          <w:sz w:val="20"/>
          <w:szCs w:val="20"/>
          <w:shd w:val="clear" w:color="auto" w:fill="FFFFFF"/>
        </w:rPr>
        <w:t xml:space="preserve"> C, </w:t>
      </w:r>
      <w:proofErr w:type="spellStart"/>
      <w:r w:rsidRPr="00403E29">
        <w:rPr>
          <w:rFonts w:ascii="Arial" w:hAnsi="Arial" w:cs="Arial"/>
          <w:color w:val="222222"/>
          <w:sz w:val="20"/>
          <w:szCs w:val="20"/>
          <w:shd w:val="clear" w:color="auto" w:fill="FFFFFF"/>
        </w:rPr>
        <w:t>Labouret</w:t>
      </w:r>
      <w:proofErr w:type="spellEnd"/>
      <w:r w:rsidRPr="00403E29">
        <w:rPr>
          <w:rFonts w:ascii="Arial" w:hAnsi="Arial" w:cs="Arial"/>
          <w:color w:val="222222"/>
          <w:sz w:val="20"/>
          <w:szCs w:val="20"/>
          <w:shd w:val="clear" w:color="auto" w:fill="FFFFFF"/>
        </w:rPr>
        <w:t xml:space="preserve"> NH, </w:t>
      </w:r>
      <w:proofErr w:type="spellStart"/>
      <w:r w:rsidRPr="00403E29">
        <w:rPr>
          <w:rFonts w:ascii="Arial" w:hAnsi="Arial" w:cs="Arial"/>
          <w:color w:val="222222"/>
          <w:sz w:val="20"/>
          <w:szCs w:val="20"/>
          <w:shd w:val="clear" w:color="auto" w:fill="FFFFFF"/>
        </w:rPr>
        <w:t>Laviolle</w:t>
      </w:r>
      <w:proofErr w:type="spellEnd"/>
      <w:r w:rsidRPr="00403E29">
        <w:rPr>
          <w:rFonts w:ascii="Arial" w:hAnsi="Arial" w:cs="Arial"/>
          <w:color w:val="222222"/>
          <w:sz w:val="20"/>
          <w:szCs w:val="20"/>
          <w:shd w:val="clear" w:color="auto" w:fill="FFFFFF"/>
        </w:rPr>
        <w:t xml:space="preserve"> B. From single-arm studies to externally controlled studies. Methodological considerations and guidelines. Therapies. 2020 Jan 1;75(1):21-7.</w:t>
      </w:r>
    </w:p>
    <w:p w14:paraId="37EA7D98" w14:textId="77777777" w:rsidR="002651EE" w:rsidRDefault="002651EE" w:rsidP="002651EE">
      <w:pPr>
        <w:ind w:firstLine="60"/>
        <w:rPr>
          <w:rFonts w:ascii="Arial" w:hAnsi="Arial" w:cs="Arial"/>
          <w:color w:val="222222"/>
          <w:sz w:val="20"/>
          <w:szCs w:val="20"/>
          <w:shd w:val="clear" w:color="auto" w:fill="FFFFFF"/>
        </w:rPr>
      </w:pPr>
    </w:p>
    <w:p w14:paraId="39E0F993" w14:textId="77777777" w:rsidR="002651EE" w:rsidRDefault="002651EE" w:rsidP="002651EE">
      <w:pPr>
        <w:rPr>
          <w:rFonts w:ascii="Arial" w:hAnsi="Arial" w:cs="Arial"/>
          <w:color w:val="222222"/>
          <w:sz w:val="20"/>
          <w:szCs w:val="20"/>
          <w:shd w:val="clear" w:color="auto" w:fill="FFFFFF"/>
        </w:rPr>
      </w:pPr>
    </w:p>
    <w:p w14:paraId="06D34F94" w14:textId="77777777" w:rsidR="002651EE" w:rsidRPr="00980F25" w:rsidRDefault="002651EE" w:rsidP="002651EE">
      <w:pPr>
        <w:pStyle w:val="ListParagraph"/>
        <w:rPr>
          <w:rFonts w:ascii="Arial" w:hAnsi="Arial" w:cs="Arial"/>
          <w:color w:val="222222"/>
          <w:sz w:val="20"/>
          <w:szCs w:val="20"/>
          <w:shd w:val="clear" w:color="auto" w:fill="FFFFFF"/>
        </w:rPr>
      </w:pPr>
    </w:p>
    <w:p w14:paraId="4190A926" w14:textId="77777777" w:rsidR="002651EE" w:rsidRDefault="002651EE" w:rsidP="00831E3D"/>
    <w:p w14:paraId="1F08967A" w14:textId="77777777" w:rsidR="00954322" w:rsidRDefault="00954322" w:rsidP="00831E3D"/>
    <w:p w14:paraId="2D8EF442" w14:textId="77777777" w:rsidR="00954322" w:rsidRPr="001A22C5" w:rsidRDefault="00954322" w:rsidP="00831E3D"/>
    <w:sectPr w:rsidR="00954322" w:rsidRPr="001A22C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Trebuchet MS">
    <w:panose1 w:val="020B0603020202020204"/>
    <w:charset w:val="00"/>
    <w:family w:val="swiss"/>
    <w:pitch w:val="variable"/>
    <w:sig w:usb0="00000287" w:usb1="00000000" w:usb2="00000000" w:usb3="00000000" w:csb0="0000009F" w:csb1="00000000"/>
  </w:font>
  <w:font w:name="Times">
    <w:altName w:val="Times New Roman"/>
    <w:panose1 w:val="020B0604020202020204"/>
    <w:charset w:val="00"/>
    <w:family w:val="roman"/>
    <w:notTrueType/>
    <w:pitch w:val="default"/>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91208B"/>
    <w:multiLevelType w:val="hybridMultilevel"/>
    <w:tmpl w:val="37BCB458"/>
    <w:lvl w:ilvl="0" w:tplc="74707674">
      <w:start w:val="1"/>
      <w:numFmt w:val="decimal"/>
      <w:lvlText w:val="%1."/>
      <w:lvlJc w:val="left"/>
      <w:pPr>
        <w:ind w:left="720" w:hanging="360"/>
      </w:pPr>
      <w:rPr>
        <w:rFonts w:ascii="Arial" w:hAnsi="Arial" w:cs="Arial" w:hint="default"/>
        <w:color w:val="222222"/>
        <w:sz w:val="2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BC5358B"/>
    <w:multiLevelType w:val="multilevel"/>
    <w:tmpl w:val="85E40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144B73"/>
    <w:multiLevelType w:val="multilevel"/>
    <w:tmpl w:val="7F682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1A74D89"/>
    <w:multiLevelType w:val="multilevel"/>
    <w:tmpl w:val="8DAEB2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2096CB7"/>
    <w:multiLevelType w:val="multilevel"/>
    <w:tmpl w:val="0C207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E0F4379"/>
    <w:multiLevelType w:val="hybridMultilevel"/>
    <w:tmpl w:val="46B4FB4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4C7F7411"/>
    <w:multiLevelType w:val="hybridMultilevel"/>
    <w:tmpl w:val="A67C6376"/>
    <w:lvl w:ilvl="0" w:tplc="74707674">
      <w:start w:val="1"/>
      <w:numFmt w:val="decimal"/>
      <w:lvlText w:val="%1."/>
      <w:lvlJc w:val="left"/>
      <w:pPr>
        <w:ind w:left="720" w:hanging="360"/>
      </w:pPr>
      <w:rPr>
        <w:rFonts w:ascii="Arial" w:hAnsi="Arial" w:cs="Arial" w:hint="default"/>
        <w:color w:val="222222"/>
        <w:sz w:val="2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549633C6"/>
    <w:multiLevelType w:val="multilevel"/>
    <w:tmpl w:val="E60E42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7EC4FAC"/>
    <w:multiLevelType w:val="multilevel"/>
    <w:tmpl w:val="9DECF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B4815F4"/>
    <w:multiLevelType w:val="hybridMultilevel"/>
    <w:tmpl w:val="113A5258"/>
    <w:lvl w:ilvl="0" w:tplc="82D21C70">
      <w:start w:val="57"/>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669794735">
    <w:abstractNumId w:val="9"/>
  </w:num>
  <w:num w:numId="2" w16cid:durableId="1093087549">
    <w:abstractNumId w:val="8"/>
  </w:num>
  <w:num w:numId="3" w16cid:durableId="400569251">
    <w:abstractNumId w:val="4"/>
  </w:num>
  <w:num w:numId="4" w16cid:durableId="1079333056">
    <w:abstractNumId w:val="3"/>
  </w:num>
  <w:num w:numId="5" w16cid:durableId="172498450">
    <w:abstractNumId w:val="1"/>
  </w:num>
  <w:num w:numId="6" w16cid:durableId="1669864536">
    <w:abstractNumId w:val="7"/>
  </w:num>
  <w:num w:numId="7" w16cid:durableId="1976329908">
    <w:abstractNumId w:val="2"/>
  </w:num>
  <w:num w:numId="8" w16cid:durableId="2096824523">
    <w:abstractNumId w:val="5"/>
  </w:num>
  <w:num w:numId="9" w16cid:durableId="1266883329">
    <w:abstractNumId w:val="6"/>
  </w:num>
  <w:num w:numId="10" w16cid:durableId="7206351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1E3D"/>
    <w:rsid w:val="000A675D"/>
    <w:rsid w:val="001231C7"/>
    <w:rsid w:val="0013212F"/>
    <w:rsid w:val="001A22C5"/>
    <w:rsid w:val="001C5E94"/>
    <w:rsid w:val="002651EE"/>
    <w:rsid w:val="002E11DB"/>
    <w:rsid w:val="002F7294"/>
    <w:rsid w:val="0034426B"/>
    <w:rsid w:val="0038113C"/>
    <w:rsid w:val="003F09FC"/>
    <w:rsid w:val="00403E29"/>
    <w:rsid w:val="00486A83"/>
    <w:rsid w:val="00556D18"/>
    <w:rsid w:val="00562FA2"/>
    <w:rsid w:val="005D0839"/>
    <w:rsid w:val="005E7BD8"/>
    <w:rsid w:val="0067527C"/>
    <w:rsid w:val="007466FF"/>
    <w:rsid w:val="00831E3D"/>
    <w:rsid w:val="008321A3"/>
    <w:rsid w:val="00833B39"/>
    <w:rsid w:val="008D73C3"/>
    <w:rsid w:val="009004A0"/>
    <w:rsid w:val="00954322"/>
    <w:rsid w:val="00965173"/>
    <w:rsid w:val="00980F25"/>
    <w:rsid w:val="009971DD"/>
    <w:rsid w:val="009C4418"/>
    <w:rsid w:val="00A3359D"/>
    <w:rsid w:val="00A4320E"/>
    <w:rsid w:val="00B10659"/>
    <w:rsid w:val="00C503FB"/>
    <w:rsid w:val="00C60E31"/>
    <w:rsid w:val="00D72964"/>
    <w:rsid w:val="00DC6AC4"/>
    <w:rsid w:val="00DD06A2"/>
    <w:rsid w:val="00DF564B"/>
    <w:rsid w:val="00E21B0C"/>
    <w:rsid w:val="00ED2A17"/>
    <w:rsid w:val="00EE101D"/>
    <w:rsid w:val="00F36B39"/>
    <w:rsid w:val="00FE187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612990"/>
  <w15:chartTrackingRefBased/>
  <w15:docId w15:val="{D1447302-FD88-F34D-B8F5-291AC51CC5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31E3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31E3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31E3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831E3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31E3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31E3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31E3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31E3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31E3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31E3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31E3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31E3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831E3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31E3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31E3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31E3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31E3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31E3D"/>
    <w:rPr>
      <w:rFonts w:eastAsiaTheme="majorEastAsia" w:cstheme="majorBidi"/>
      <w:color w:val="272727" w:themeColor="text1" w:themeTint="D8"/>
    </w:rPr>
  </w:style>
  <w:style w:type="paragraph" w:styleId="Title">
    <w:name w:val="Title"/>
    <w:basedOn w:val="Normal"/>
    <w:next w:val="Normal"/>
    <w:link w:val="TitleChar"/>
    <w:uiPriority w:val="10"/>
    <w:qFormat/>
    <w:rsid w:val="00831E3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31E3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31E3D"/>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31E3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31E3D"/>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831E3D"/>
    <w:rPr>
      <w:i/>
      <w:iCs/>
      <w:color w:val="404040" w:themeColor="text1" w:themeTint="BF"/>
    </w:rPr>
  </w:style>
  <w:style w:type="paragraph" w:styleId="ListParagraph">
    <w:name w:val="List Paragraph"/>
    <w:basedOn w:val="Normal"/>
    <w:uiPriority w:val="34"/>
    <w:qFormat/>
    <w:rsid w:val="00831E3D"/>
    <w:pPr>
      <w:ind w:left="720"/>
      <w:contextualSpacing/>
    </w:pPr>
  </w:style>
  <w:style w:type="character" w:styleId="IntenseEmphasis">
    <w:name w:val="Intense Emphasis"/>
    <w:basedOn w:val="DefaultParagraphFont"/>
    <w:uiPriority w:val="21"/>
    <w:qFormat/>
    <w:rsid w:val="00831E3D"/>
    <w:rPr>
      <w:i/>
      <w:iCs/>
      <w:color w:val="0F4761" w:themeColor="accent1" w:themeShade="BF"/>
    </w:rPr>
  </w:style>
  <w:style w:type="paragraph" w:styleId="IntenseQuote">
    <w:name w:val="Intense Quote"/>
    <w:basedOn w:val="Normal"/>
    <w:next w:val="Normal"/>
    <w:link w:val="IntenseQuoteChar"/>
    <w:uiPriority w:val="30"/>
    <w:qFormat/>
    <w:rsid w:val="00831E3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31E3D"/>
    <w:rPr>
      <w:i/>
      <w:iCs/>
      <w:color w:val="0F4761" w:themeColor="accent1" w:themeShade="BF"/>
    </w:rPr>
  </w:style>
  <w:style w:type="character" w:styleId="IntenseReference">
    <w:name w:val="Intense Reference"/>
    <w:basedOn w:val="DefaultParagraphFont"/>
    <w:uiPriority w:val="32"/>
    <w:qFormat/>
    <w:rsid w:val="00831E3D"/>
    <w:rPr>
      <w:b/>
      <w:bCs/>
      <w:smallCaps/>
      <w:color w:val="0F4761" w:themeColor="accent1" w:themeShade="BF"/>
      <w:spacing w:val="5"/>
    </w:rPr>
  </w:style>
  <w:style w:type="paragraph" w:styleId="NormalWeb">
    <w:name w:val="Normal (Web)"/>
    <w:basedOn w:val="Normal"/>
    <w:uiPriority w:val="99"/>
    <w:semiHidden/>
    <w:unhideWhenUsed/>
    <w:rsid w:val="001A22C5"/>
    <w:pPr>
      <w:spacing w:before="100" w:beforeAutospacing="1" w:after="100" w:afterAutospacing="1"/>
    </w:pPr>
    <w:rPr>
      <w:rFonts w:ascii="Times New Roman" w:eastAsia="Times New Roman" w:hAnsi="Times New Roman" w:cs="Times New Roman"/>
      <w:kern w:val="0"/>
      <w:lang w:eastAsia="en-GB"/>
      <w14:ligatures w14:val="none"/>
    </w:rPr>
  </w:style>
  <w:style w:type="character" w:styleId="Strong">
    <w:name w:val="Strong"/>
    <w:basedOn w:val="DefaultParagraphFont"/>
    <w:uiPriority w:val="22"/>
    <w:qFormat/>
    <w:rsid w:val="001A22C5"/>
    <w:rPr>
      <w:b/>
      <w:bCs/>
    </w:rPr>
  </w:style>
  <w:style w:type="character" w:customStyle="1" w:styleId="apple-converted-space">
    <w:name w:val="apple-converted-space"/>
    <w:basedOn w:val="DefaultParagraphFont"/>
    <w:rsid w:val="001A22C5"/>
  </w:style>
  <w:style w:type="paragraph" w:styleId="Bibliography">
    <w:name w:val="Bibliography"/>
    <w:basedOn w:val="Normal"/>
    <w:next w:val="Normal"/>
    <w:uiPriority w:val="37"/>
    <w:unhideWhenUsed/>
    <w:rsid w:val="00DF564B"/>
  </w:style>
  <w:style w:type="paragraph" w:customStyle="1" w:styleId="p1">
    <w:name w:val="p1"/>
    <w:basedOn w:val="Normal"/>
    <w:rsid w:val="00FE187C"/>
    <w:rPr>
      <w:rFonts w:ascii="Trebuchet MS" w:eastAsia="Times New Roman" w:hAnsi="Trebuchet MS" w:cs="Times New Roman"/>
      <w:color w:val="141413"/>
      <w:kern w:val="0"/>
      <w:sz w:val="14"/>
      <w:szCs w:val="14"/>
      <w:lang w:eastAsia="en-GB"/>
      <w14:ligatures w14:val="none"/>
    </w:rPr>
  </w:style>
  <w:style w:type="character" w:customStyle="1" w:styleId="s1">
    <w:name w:val="s1"/>
    <w:basedOn w:val="DefaultParagraphFont"/>
    <w:rsid w:val="00FE187C"/>
    <w:rPr>
      <w:rFonts w:ascii="Times" w:hAnsi="Times" w:hint="default"/>
      <w:sz w:val="2"/>
      <w:szCs w:val="2"/>
    </w:rPr>
  </w:style>
  <w:style w:type="paragraph" w:styleId="NoSpacing">
    <w:name w:val="No Spacing"/>
    <w:uiPriority w:val="1"/>
    <w:qFormat/>
    <w:rsid w:val="00980F25"/>
  </w:style>
  <w:style w:type="character" w:styleId="PlaceholderText">
    <w:name w:val="Placeholder Text"/>
    <w:basedOn w:val="DefaultParagraphFont"/>
    <w:uiPriority w:val="99"/>
    <w:semiHidden/>
    <w:rsid w:val="00562FA2"/>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5693684">
      <w:bodyDiv w:val="1"/>
      <w:marLeft w:val="0"/>
      <w:marRight w:val="0"/>
      <w:marTop w:val="0"/>
      <w:marBottom w:val="0"/>
      <w:divBdr>
        <w:top w:val="none" w:sz="0" w:space="0" w:color="auto"/>
        <w:left w:val="none" w:sz="0" w:space="0" w:color="auto"/>
        <w:bottom w:val="none" w:sz="0" w:space="0" w:color="auto"/>
        <w:right w:val="none" w:sz="0" w:space="0" w:color="auto"/>
      </w:divBdr>
    </w:div>
    <w:div w:id="445197197">
      <w:bodyDiv w:val="1"/>
      <w:marLeft w:val="0"/>
      <w:marRight w:val="0"/>
      <w:marTop w:val="0"/>
      <w:marBottom w:val="0"/>
      <w:divBdr>
        <w:top w:val="none" w:sz="0" w:space="0" w:color="auto"/>
        <w:left w:val="none" w:sz="0" w:space="0" w:color="auto"/>
        <w:bottom w:val="none" w:sz="0" w:space="0" w:color="auto"/>
        <w:right w:val="none" w:sz="0" w:space="0" w:color="auto"/>
      </w:divBdr>
    </w:div>
    <w:div w:id="10217859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DFC214-474A-CA41-A499-A3105AF9A6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367</TotalTime>
  <Pages>8</Pages>
  <Words>1901</Words>
  <Characters>10840</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12716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Jackson, Richard [richj23]</dc:creator>
  <cp:keywords/>
  <dc:description/>
  <cp:lastModifiedBy>Jackson, Richard [richj23]</cp:lastModifiedBy>
  <cp:revision>10</cp:revision>
  <dcterms:created xsi:type="dcterms:W3CDTF">2026-01-12T10:42:00Z</dcterms:created>
  <dcterms:modified xsi:type="dcterms:W3CDTF">2026-02-16T12:49:00Z</dcterms:modified>
</cp:coreProperties>
</file>