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086C" w:rsidRDefault="00000000">
      <w:pPr>
        <w:pStyle w:val="Title"/>
      </w:pPr>
      <w:r>
        <w:t>THESIS PROGRESS REPORT</w:t>
      </w:r>
    </w:p>
    <w:p w:rsidR="00432AB1" w:rsidRPr="00432AB1" w:rsidRDefault="00432AB1" w:rsidP="00432AB1">
      <w:pPr>
        <w:rPr>
          <w:sz w:val="21"/>
          <w:szCs w:val="28"/>
        </w:rPr>
      </w:pPr>
      <w:r w:rsidRPr="00432AB1">
        <w:rPr>
          <w:sz w:val="21"/>
          <w:szCs w:val="28"/>
        </w:rPr>
        <w:t>RICHA VERMA – 25MCSS02  ·  Advisor: Dr. Akshay Pandey</w:t>
      </w:r>
    </w:p>
    <w:p w:rsidR="0054086C" w:rsidRDefault="00000000">
      <w:r>
        <w:rPr>
          <w:b/>
          <w:color w:val="2E6FA3"/>
          <w:sz w:val="23"/>
        </w:rPr>
        <w:t>RAG-Augmented Multi-Agent LLM Framework for Explainable Software Vulnerability Detection Using CWE Knowledge Bases</w:t>
      </w:r>
    </w:p>
    <w:tbl>
      <w:tblPr>
        <w:tblW w:w="0" w:type="auto"/>
        <w:jc w:val="center"/>
        <w:tblLook w:val="04A0" w:firstRow="1" w:lastRow="0" w:firstColumn="1" w:lastColumn="0" w:noHBand="0" w:noVBand="1"/>
      </w:tblPr>
      <w:tblGrid>
        <w:gridCol w:w="10310"/>
      </w:tblGrid>
      <w:tr w:rsidR="0054086C">
        <w:trPr>
          <w:jc w:val="center"/>
        </w:trPr>
        <w:tc>
          <w:tcPr>
            <w:tcW w:w="10310" w:type="dxa"/>
            <w:shd w:val="clear" w:color="auto" w:fill="EAF1F7"/>
          </w:tcPr>
          <w:p w:rsidR="0054086C" w:rsidRDefault="00000000">
            <w:pPr>
              <w:spacing w:after="0"/>
            </w:pPr>
            <w:r>
              <w:rPr>
                <w:b/>
                <w:color w:val="16324F"/>
              </w:rPr>
              <w:t>Research focus: RAG-augmented multi-agent CWE vulnerability detection. Runnable path is seed-only (regex SAST, MiniLM/TF-IDF hybrid retrieval, template reasoner, optional LLM). Cost-aware routing lives in the orchestrator.</w:t>
            </w:r>
          </w:p>
        </w:tc>
      </w:tr>
    </w:tbl>
    <w:p w:rsidR="0054086C" w:rsidRDefault="00000000">
      <w:pPr>
        <w:pStyle w:val="Heading1"/>
      </w:pPr>
      <w:r>
        <w:t>1. Introduction</w:t>
      </w:r>
    </w:p>
    <w:p w:rsidR="0054086C" w:rsidRDefault="00000000">
      <w:pPr>
        <w:spacing w:after="80" w:line="259" w:lineRule="auto"/>
      </w:pPr>
      <w:r>
        <w:t>The thesis focuses on software vulnerability detection using Large Language Models (LLMs), Retrieval-Augmented Generation (RAG) and Common Weakness Enumeration (CWE) knowledge. The main objective is to build a framework that can identify vulnerabilities, connect them to relevant CWE information, and produce explanations grounded in both source-code evidence and security knowledge.</w:t>
      </w:r>
    </w:p>
    <w:p w:rsidR="0054086C" w:rsidRDefault="00000000">
      <w:pPr>
        <w:spacing w:after="80" w:line="259" w:lineRule="auto"/>
      </w:pPr>
      <w:r>
        <w:t>The work is motivated by practical limitations of existing approaches. Static analysis can produce false positives and can also miss vulnerabilities. LLM-based analysis can provide stronger reasoning but may introduce hallucinations, weak evidence grounding and high inference cost. The proposed direction therefore combines multiple specialized components instead of relying on a single technique.</w:t>
      </w:r>
    </w:p>
    <w:p w:rsidR="0054086C" w:rsidRDefault="00000000">
      <w:pPr>
        <w:pStyle w:val="Heading1"/>
      </w:pPr>
      <w:r>
        <w:t>2. Evolution of the Research Direction</w:t>
      </w:r>
    </w:p>
    <w:p w:rsidR="0054086C" w:rsidRDefault="00000000">
      <w:pPr>
        <w:spacing w:after="80" w:line="259" w:lineRule="auto"/>
      </w:pPr>
      <w:r>
        <w:t>The research direction evolved through several areas of AI before converging on explainable software vulnerability detection. The early study covered Explainable AI, Explainable RAG, AutoML, Edge AI, SHAP, counterfactual explanations and agentic AI. This exploration helped identify a research problem where explanation, retrieval quality and intelligent decision-making are all important.</w:t>
      </w:r>
    </w:p>
    <w:tbl>
      <w:tblPr>
        <w:tblStyle w:val="TableGrid"/>
        <w:tblW w:w="0" w:type="auto"/>
        <w:jc w:val="center"/>
        <w:tblLook w:val="04A0" w:firstRow="1" w:lastRow="0" w:firstColumn="1" w:lastColumn="0" w:noHBand="0" w:noVBand="1"/>
      </w:tblPr>
      <w:tblGrid>
        <w:gridCol w:w="2365"/>
        <w:gridCol w:w="7935"/>
      </w:tblGrid>
      <w:tr w:rsidR="0054086C">
        <w:trPr>
          <w:jc w:val="center"/>
        </w:trPr>
        <w:tc>
          <w:tcPr>
            <w:tcW w:w="2376" w:type="dxa"/>
            <w:shd w:val="clear" w:color="auto" w:fill="16324F"/>
            <w:vAlign w:val="center"/>
          </w:tcPr>
          <w:p w:rsidR="0054086C" w:rsidRDefault="00000000">
            <w:r>
              <w:rPr>
                <w:b/>
                <w:color w:val="FFFFFF"/>
                <w:sz w:val="16"/>
              </w:rPr>
              <w:t>Stage</w:t>
            </w:r>
          </w:p>
        </w:tc>
        <w:tc>
          <w:tcPr>
            <w:tcW w:w="7992" w:type="dxa"/>
            <w:shd w:val="clear" w:color="auto" w:fill="16324F"/>
            <w:vAlign w:val="center"/>
          </w:tcPr>
          <w:p w:rsidR="0054086C" w:rsidRDefault="00000000">
            <w:r>
              <w:rPr>
                <w:b/>
                <w:color w:val="FFFFFF"/>
                <w:sz w:val="16"/>
              </w:rPr>
              <w:t>Main focus</w:t>
            </w:r>
          </w:p>
        </w:tc>
      </w:tr>
      <w:tr w:rsidR="0054086C">
        <w:trPr>
          <w:jc w:val="center"/>
        </w:trPr>
        <w:tc>
          <w:tcPr>
            <w:tcW w:w="2376" w:type="dxa"/>
            <w:shd w:val="clear" w:color="auto" w:fill="F4F6F8"/>
            <w:vAlign w:val="center"/>
          </w:tcPr>
          <w:p w:rsidR="0054086C" w:rsidRDefault="00000000">
            <w:r>
              <w:rPr>
                <w:sz w:val="16"/>
              </w:rPr>
              <w:t>Explainable AI</w:t>
            </w:r>
          </w:p>
        </w:tc>
        <w:tc>
          <w:tcPr>
            <w:tcW w:w="7992" w:type="dxa"/>
            <w:vAlign w:val="center"/>
          </w:tcPr>
          <w:p w:rsidR="0054086C" w:rsidRDefault="00000000">
            <w:r>
              <w:rPr>
                <w:sz w:val="16"/>
              </w:rPr>
              <w:t>Understanding why AI systems make predictions and how explanations can be evaluated.</w:t>
            </w:r>
          </w:p>
        </w:tc>
      </w:tr>
      <w:tr w:rsidR="0054086C">
        <w:trPr>
          <w:jc w:val="center"/>
        </w:trPr>
        <w:tc>
          <w:tcPr>
            <w:tcW w:w="2376" w:type="dxa"/>
            <w:shd w:val="clear" w:color="auto" w:fill="F4F6F8"/>
            <w:vAlign w:val="center"/>
          </w:tcPr>
          <w:p w:rsidR="0054086C" w:rsidRDefault="00000000">
            <w:r>
              <w:rPr>
                <w:sz w:val="16"/>
              </w:rPr>
              <w:t>Explainable RAG</w:t>
            </w:r>
          </w:p>
        </w:tc>
        <w:tc>
          <w:tcPr>
            <w:tcW w:w="7992" w:type="dxa"/>
            <w:vAlign w:val="center"/>
          </w:tcPr>
          <w:p w:rsidR="0054086C" w:rsidRDefault="00000000">
            <w:r>
              <w:rPr>
                <w:sz w:val="16"/>
              </w:rPr>
              <w:t>Studying how retrieved evidence can make LLM responses more grounded and traceable.</w:t>
            </w:r>
          </w:p>
        </w:tc>
      </w:tr>
      <w:tr w:rsidR="0054086C">
        <w:trPr>
          <w:jc w:val="center"/>
        </w:trPr>
        <w:tc>
          <w:tcPr>
            <w:tcW w:w="2376" w:type="dxa"/>
            <w:shd w:val="clear" w:color="auto" w:fill="F4F6F8"/>
            <w:vAlign w:val="center"/>
          </w:tcPr>
          <w:p w:rsidR="0054086C" w:rsidRDefault="00000000">
            <w:r>
              <w:rPr>
                <w:sz w:val="16"/>
              </w:rPr>
              <w:t>Edge AI / lightweight models</w:t>
            </w:r>
          </w:p>
        </w:tc>
        <w:tc>
          <w:tcPr>
            <w:tcW w:w="7992" w:type="dxa"/>
            <w:vAlign w:val="center"/>
          </w:tcPr>
          <w:p w:rsidR="0054086C" w:rsidRDefault="00000000">
            <w:r>
              <w:rPr>
                <w:sz w:val="16"/>
              </w:rPr>
              <w:t>Understanding model efficiency, deployment constraints and performance trade-offs.</w:t>
            </w:r>
          </w:p>
        </w:tc>
      </w:tr>
      <w:tr w:rsidR="0054086C">
        <w:trPr>
          <w:jc w:val="center"/>
        </w:trPr>
        <w:tc>
          <w:tcPr>
            <w:tcW w:w="2376" w:type="dxa"/>
            <w:shd w:val="clear" w:color="auto" w:fill="F4F6F8"/>
            <w:vAlign w:val="center"/>
          </w:tcPr>
          <w:p w:rsidR="0054086C" w:rsidRDefault="00000000">
            <w:r>
              <w:rPr>
                <w:sz w:val="16"/>
              </w:rPr>
              <w:t>XAI methods</w:t>
            </w:r>
          </w:p>
        </w:tc>
        <w:tc>
          <w:tcPr>
            <w:tcW w:w="7992" w:type="dxa"/>
            <w:vAlign w:val="center"/>
          </w:tcPr>
          <w:p w:rsidR="0054086C" w:rsidRDefault="00000000">
            <w:r>
              <w:rPr>
                <w:sz w:val="16"/>
              </w:rPr>
              <w:t>Studying SHAP, counterfactual explanations and faithfulness-related concerns.</w:t>
            </w:r>
          </w:p>
        </w:tc>
      </w:tr>
      <w:tr w:rsidR="0054086C">
        <w:trPr>
          <w:jc w:val="center"/>
        </w:trPr>
        <w:tc>
          <w:tcPr>
            <w:tcW w:w="2376" w:type="dxa"/>
            <w:shd w:val="clear" w:color="auto" w:fill="F4F6F8"/>
            <w:vAlign w:val="center"/>
          </w:tcPr>
          <w:p w:rsidR="0054086C" w:rsidRDefault="00000000">
            <w:r>
              <w:rPr>
                <w:sz w:val="16"/>
              </w:rPr>
              <w:t>Agentic AI</w:t>
            </w:r>
          </w:p>
        </w:tc>
        <w:tc>
          <w:tcPr>
            <w:tcW w:w="7992" w:type="dxa"/>
            <w:vAlign w:val="center"/>
          </w:tcPr>
          <w:p w:rsidR="0054086C" w:rsidRDefault="00000000">
            <w:r>
              <w:rPr>
                <w:sz w:val="16"/>
              </w:rPr>
              <w:t>Understanding specialized agents, orchestration and multi-step reasoning.</w:t>
            </w:r>
          </w:p>
        </w:tc>
      </w:tr>
      <w:tr w:rsidR="0054086C">
        <w:trPr>
          <w:jc w:val="center"/>
        </w:trPr>
        <w:tc>
          <w:tcPr>
            <w:tcW w:w="2376" w:type="dxa"/>
            <w:shd w:val="clear" w:color="auto" w:fill="F4F6F8"/>
            <w:vAlign w:val="center"/>
          </w:tcPr>
          <w:p w:rsidR="0054086C" w:rsidRDefault="00000000">
            <w:r>
              <w:rPr>
                <w:sz w:val="16"/>
              </w:rPr>
              <w:t>Final research direction</w:t>
            </w:r>
          </w:p>
        </w:tc>
        <w:tc>
          <w:tcPr>
            <w:tcW w:w="7992" w:type="dxa"/>
            <w:vAlign w:val="center"/>
          </w:tcPr>
          <w:p w:rsidR="0054086C" w:rsidRDefault="00000000">
            <w:r>
              <w:rPr>
                <w:sz w:val="16"/>
              </w:rPr>
              <w:t>RAG-augmented multi-agent vulnerability detection using CWE knowledge.</w:t>
            </w:r>
          </w:p>
        </w:tc>
      </w:tr>
    </w:tbl>
    <w:p w:rsidR="0054086C" w:rsidRDefault="00000000">
      <w:pPr>
        <w:pStyle w:val="Heading1"/>
      </w:pPr>
      <w:r>
        <w:t>3. Problem Understanding</w:t>
      </w:r>
    </w:p>
    <w:p w:rsidR="0054086C" w:rsidRDefault="00000000">
      <w:pPr>
        <w:spacing w:after="80" w:line="259" w:lineRule="auto"/>
      </w:pPr>
      <w:r>
        <w:t>The final problem is not only to classify whether a piece of code is vulnerable. The system should also identify a relevant CWE, provide supporting code evidence, explain the root cause and suggest remediation. At the same time, it should avoid unnecessary expensive LLM calls.</w:t>
      </w:r>
    </w:p>
    <w:p w:rsidR="0054086C" w:rsidRDefault="00000000">
      <w:pPr>
        <w:spacing w:after="80" w:line="259" w:lineRule="auto"/>
      </w:pPr>
      <w:r>
        <w:t>A key design decision is to treat static analysis as context augmentation rather than as the final decision maker. Similarly, retrieval confidence should not be confused with vulnerability confidence. The proposed framework keeps these signals separate and combines them only after reasoning and validation.</w:t>
      </w:r>
    </w:p>
    <w:p w:rsidR="0054086C" w:rsidRDefault="00000000">
      <w:r>
        <w:br w:type="page"/>
      </w:r>
    </w:p>
    <w:p w:rsidR="0054086C" w:rsidRDefault="00000000">
      <w:pPr>
        <w:pStyle w:val="Heading1"/>
      </w:pPr>
      <w:r>
        <w:lastRenderedPageBreak/>
        <w:t>4. Learning Journey</w:t>
      </w:r>
    </w:p>
    <w:p w:rsidR="0054086C" w:rsidRDefault="00000000">
      <w:pPr>
        <w:pStyle w:val="Heading2"/>
      </w:pPr>
      <w:r>
        <w:t>Explainable AI and RAG</w:t>
      </w:r>
    </w:p>
    <w:p w:rsidR="0054086C" w:rsidRDefault="00000000">
      <w:pPr>
        <w:spacing w:after="80" w:line="259" w:lineRule="auto"/>
      </w:pPr>
      <w:r>
        <w:t>The initial study established the importance of explainability in AI systems. RAG was then studied as a way of providing external evidence to an LLM. For vulnerability detection, this is particularly useful because the system can retrieve CWE descriptions, relationships, secure-coding information and related examples instead of relying only on model knowledge.</w:t>
      </w:r>
    </w:p>
    <w:p w:rsidR="0054086C" w:rsidRDefault="00000000">
      <w:pPr>
        <w:pStyle w:val="Heading2"/>
      </w:pPr>
      <w:r>
        <w:t>Security Knowledge and CWE</w:t>
      </w:r>
    </w:p>
    <w:p w:rsidR="0054086C" w:rsidRDefault="00000000">
      <w:pPr>
        <w:spacing w:after="80" w:line="259" w:lineRule="auto"/>
      </w:pPr>
      <w:r>
        <w:t>CWE was studied as the central security knowledge source for the framework. The proposed knowledge layer can connect related weaknesses, mitigations and attack patterns. This provides a structured security context that can support both retrieval and explanation.</w:t>
      </w:r>
    </w:p>
    <w:p w:rsidR="0054086C" w:rsidRDefault="00000000">
      <w:pPr>
        <w:pStyle w:val="Heading2"/>
      </w:pPr>
      <w:r>
        <w:t>Agentic AI</w:t>
      </w:r>
    </w:p>
    <w:p w:rsidR="0054086C" w:rsidRDefault="00000000">
      <w:pPr>
        <w:spacing w:after="80" w:line="259" w:lineRule="auto"/>
      </w:pPr>
      <w:r>
        <w:t>The research then moved toward agentic systems, where different agents perform specialized tasks. Instead of asking one LLM to perform the complete vulnerability-detection workflow, the proposed framework separates static analysis, retrieval, orchestration, reasoning and validation.</w:t>
      </w:r>
    </w:p>
    <w:p w:rsidR="0054086C" w:rsidRDefault="00000000">
      <w:pPr>
        <w:pStyle w:val="Heading2"/>
      </w:pPr>
      <w:r>
        <w:t>Vulnerability Detection</w:t>
      </w:r>
    </w:p>
    <w:p w:rsidR="0054086C" w:rsidRDefault="00000000">
      <w:pPr>
        <w:spacing w:after="80" w:line="259" w:lineRule="auto"/>
      </w:pPr>
      <w:r>
        <w:t>The final direction combines these ideas into a security-analysis pipeline. The system should first extract useful code and static-analysis information, retrieve relevant CWE knowledge, decide how much LLM reasoning is required, validate the result, and finally generate an evidence-grounded vulnerability report.</w:t>
      </w:r>
    </w:p>
    <w:p w:rsidR="0054086C" w:rsidRDefault="00000000">
      <w:pPr>
        <w:pStyle w:val="Heading1"/>
      </w:pPr>
      <w:r>
        <w:t>5. From Simple RAG to a Cost-Aware Framework</w:t>
      </w:r>
    </w:p>
    <w:p w:rsidR="0054086C" w:rsidRDefault="00000000">
      <w:pPr>
        <w:spacing w:after="80" w:line="259" w:lineRule="auto"/>
      </w:pPr>
      <w:r>
        <w:t>A simple RAG pipeline can retrieve relevant documents and send them to an LLM. However, using an expensive reasoning call for every source file may be unnecessary. The proposed framework therefore introduces an adaptive routing layer.</w:t>
      </w:r>
    </w:p>
    <w:tbl>
      <w:tblPr>
        <w:tblW w:w="0" w:type="auto"/>
        <w:jc w:val="center"/>
        <w:tblLook w:val="04A0" w:firstRow="1" w:lastRow="0" w:firstColumn="1" w:lastColumn="0" w:noHBand="0" w:noVBand="1"/>
      </w:tblPr>
      <w:tblGrid>
        <w:gridCol w:w="10310"/>
      </w:tblGrid>
      <w:tr w:rsidR="0054086C">
        <w:trPr>
          <w:jc w:val="center"/>
        </w:trPr>
        <w:tc>
          <w:tcPr>
            <w:tcW w:w="10310" w:type="dxa"/>
            <w:shd w:val="clear" w:color="auto" w:fill="EAF1F7"/>
          </w:tcPr>
          <w:p w:rsidR="0054086C" w:rsidRDefault="00000000">
            <w:pPr>
              <w:spacing w:after="0"/>
            </w:pPr>
            <w:r>
              <w:rPr>
                <w:b/>
                <w:color w:val="16324F"/>
              </w:rPr>
              <w:t>Core principle: retrieve and assess evidence first → route only uncertain or higher-risk cases to deeper LLM reasoning → validate every final result.</w:t>
            </w:r>
          </w:p>
        </w:tc>
      </w:tr>
    </w:tbl>
    <w:p w:rsidR="0054086C" w:rsidRDefault="00000000">
      <w:pPr>
        <w:spacing w:after="80" w:line="259" w:lineRule="auto"/>
      </w:pPr>
      <w:r>
        <w:t>The routing decision is based on multiple signals rather than a single confidence value. These include rule-based risk, retrieval confidence and evidence coverage. Reasoning confidence is considered separately when an LLM reasoning agent is used.</w:t>
      </w:r>
    </w:p>
    <w:p w:rsidR="0054086C" w:rsidRDefault="00000000">
      <w:pPr>
        <w:pStyle w:val="Heading1"/>
      </w:pPr>
      <w:r>
        <w:t>6. Confidence Separation</w:t>
      </w:r>
    </w:p>
    <w:tbl>
      <w:tblPr>
        <w:tblStyle w:val="TableGrid"/>
        <w:tblW w:w="0" w:type="auto"/>
        <w:jc w:val="center"/>
        <w:tblLook w:val="04A0" w:firstRow="1" w:lastRow="0" w:firstColumn="1" w:lastColumn="0" w:noHBand="0" w:noVBand="1"/>
      </w:tblPr>
      <w:tblGrid>
        <w:gridCol w:w="2579"/>
        <w:gridCol w:w="7721"/>
      </w:tblGrid>
      <w:tr w:rsidR="0054086C">
        <w:trPr>
          <w:jc w:val="center"/>
        </w:trPr>
        <w:tc>
          <w:tcPr>
            <w:tcW w:w="2592" w:type="dxa"/>
            <w:shd w:val="clear" w:color="auto" w:fill="16324F"/>
            <w:vAlign w:val="center"/>
          </w:tcPr>
          <w:p w:rsidR="0054086C" w:rsidRDefault="00000000">
            <w:r>
              <w:rPr>
                <w:b/>
                <w:color w:val="FFFFFF"/>
                <w:sz w:val="16"/>
              </w:rPr>
              <w:t>Signal</w:t>
            </w:r>
          </w:p>
        </w:tc>
        <w:tc>
          <w:tcPr>
            <w:tcW w:w="7776" w:type="dxa"/>
            <w:shd w:val="clear" w:color="auto" w:fill="16324F"/>
            <w:vAlign w:val="center"/>
          </w:tcPr>
          <w:p w:rsidR="0054086C" w:rsidRDefault="00000000">
            <w:r>
              <w:rPr>
                <w:b/>
                <w:color w:val="FFFFFF"/>
                <w:sz w:val="16"/>
              </w:rPr>
              <w:t>Meaning</w:t>
            </w:r>
          </w:p>
        </w:tc>
      </w:tr>
      <w:tr w:rsidR="0054086C">
        <w:trPr>
          <w:jc w:val="center"/>
        </w:trPr>
        <w:tc>
          <w:tcPr>
            <w:tcW w:w="2592" w:type="dxa"/>
            <w:shd w:val="clear" w:color="auto" w:fill="F4F6F8"/>
            <w:vAlign w:val="center"/>
          </w:tcPr>
          <w:p w:rsidR="0054086C" w:rsidRDefault="00000000">
            <w:r>
              <w:rPr>
                <w:sz w:val="16"/>
              </w:rPr>
              <w:t>Retrieval Confidence</w:t>
            </w:r>
          </w:p>
        </w:tc>
        <w:tc>
          <w:tcPr>
            <w:tcW w:w="7776" w:type="dxa"/>
            <w:vAlign w:val="center"/>
          </w:tcPr>
          <w:p w:rsidR="0054086C" w:rsidRDefault="00000000">
            <w:r>
              <w:rPr>
                <w:sz w:val="16"/>
              </w:rPr>
              <w:t>How strongly the retrieved CWE/security knowledge matches the code context.</w:t>
            </w:r>
          </w:p>
        </w:tc>
      </w:tr>
      <w:tr w:rsidR="0054086C">
        <w:trPr>
          <w:jc w:val="center"/>
        </w:trPr>
        <w:tc>
          <w:tcPr>
            <w:tcW w:w="2592" w:type="dxa"/>
            <w:shd w:val="clear" w:color="auto" w:fill="F4F6F8"/>
            <w:vAlign w:val="center"/>
          </w:tcPr>
          <w:p w:rsidR="0054086C" w:rsidRDefault="00000000">
            <w:r>
              <w:rPr>
                <w:sz w:val="16"/>
              </w:rPr>
              <w:t>Reasoning Confidence</w:t>
            </w:r>
          </w:p>
        </w:tc>
        <w:tc>
          <w:tcPr>
            <w:tcW w:w="7776" w:type="dxa"/>
            <w:vAlign w:val="center"/>
          </w:tcPr>
          <w:p w:rsidR="0054086C" w:rsidRDefault="00000000">
            <w:r>
              <w:rPr>
                <w:sz w:val="16"/>
              </w:rPr>
              <w:t>How confidently the reasoning agent supports the vulnerability interpretation.</w:t>
            </w:r>
          </w:p>
        </w:tc>
      </w:tr>
      <w:tr w:rsidR="0054086C">
        <w:trPr>
          <w:jc w:val="center"/>
        </w:trPr>
        <w:tc>
          <w:tcPr>
            <w:tcW w:w="2592" w:type="dxa"/>
            <w:shd w:val="clear" w:color="auto" w:fill="F4F6F8"/>
            <w:vAlign w:val="center"/>
          </w:tcPr>
          <w:p w:rsidR="0054086C" w:rsidRDefault="00000000">
            <w:r>
              <w:rPr>
                <w:sz w:val="16"/>
              </w:rPr>
              <w:t>Evidence Confidence</w:t>
            </w:r>
          </w:p>
        </w:tc>
        <w:tc>
          <w:tcPr>
            <w:tcW w:w="7776" w:type="dxa"/>
            <w:vAlign w:val="center"/>
          </w:tcPr>
          <w:p w:rsidR="0054086C" w:rsidRDefault="00000000">
            <w:r>
              <w:rPr>
                <w:sz w:val="16"/>
              </w:rPr>
              <w:t>Whether the final claim is supported by identifiable code lines and retrieved evidence.</w:t>
            </w:r>
          </w:p>
        </w:tc>
      </w:tr>
      <w:tr w:rsidR="0054086C">
        <w:trPr>
          <w:jc w:val="center"/>
        </w:trPr>
        <w:tc>
          <w:tcPr>
            <w:tcW w:w="2592" w:type="dxa"/>
            <w:shd w:val="clear" w:color="auto" w:fill="F4F6F8"/>
            <w:vAlign w:val="center"/>
          </w:tcPr>
          <w:p w:rsidR="0054086C" w:rsidRDefault="00000000">
            <w:r>
              <w:rPr>
                <w:sz w:val="16"/>
              </w:rPr>
              <w:t>Vulnerability Confidence</w:t>
            </w:r>
          </w:p>
        </w:tc>
        <w:tc>
          <w:tcPr>
            <w:tcW w:w="7776" w:type="dxa"/>
            <w:vAlign w:val="center"/>
          </w:tcPr>
          <w:p w:rsidR="0054086C" w:rsidRDefault="00000000">
            <w:r>
              <w:rPr>
                <w:sz w:val="16"/>
              </w:rPr>
              <w:t>The final decision after combining relevant evidence and validation signals.</w:t>
            </w:r>
          </w:p>
        </w:tc>
      </w:tr>
    </w:tbl>
    <w:p w:rsidR="0054086C" w:rsidRDefault="00000000">
      <w:pPr>
        <w:spacing w:after="80" w:line="259" w:lineRule="auto"/>
      </w:pPr>
      <w:r>
        <w:t>Keeping these signals separate reduces the risk of treating a good document match as proof that a vulnerability exists.</w:t>
      </w:r>
    </w:p>
    <w:p w:rsidR="0054086C" w:rsidRDefault="00000000">
      <w:r>
        <w:br w:type="page"/>
      </w:r>
    </w:p>
    <w:p w:rsidR="0054086C" w:rsidRDefault="00000000">
      <w:pPr>
        <w:pStyle w:val="Heading1"/>
      </w:pPr>
      <w:r>
        <w:lastRenderedPageBreak/>
        <w:t>7. What Has Been Done So Far</w:t>
      </w:r>
    </w:p>
    <w:p w:rsidR="0054086C" w:rsidRDefault="00000000">
      <w:pPr>
        <w:spacing w:after="80" w:line="259" w:lineRule="auto"/>
      </w:pPr>
      <w:r>
        <w:t>Assignments 1–4 and the wired seed pipeline are implemented (PRs #1–#10), then MiniLM embeddings and a Groq LLM reasoner (embeddings-llm). Research evaluation is complete on an authored expanded Java corpus (36 units: original 12 plus 24 held-out FP/FN traps) — not a public benchmark (not Juliet, OWASP Benchmark, or Big-Vul). Live Groq openai/gpt-oss-20b was used in trials. Without GROQ_API_KEY the default path is offline. No OpenAI account is required.</w:t>
      </w:r>
    </w:p>
    <w:tbl>
      <w:tblPr>
        <w:tblStyle w:val="TableGrid"/>
        <w:tblW w:w="0" w:type="auto"/>
        <w:jc w:val="center"/>
        <w:tblLook w:val="04A0" w:firstRow="1" w:lastRow="0" w:firstColumn="1" w:lastColumn="0" w:noHBand="0" w:noVBand="1"/>
      </w:tblPr>
      <w:tblGrid>
        <w:gridCol w:w="2366"/>
        <w:gridCol w:w="1648"/>
        <w:gridCol w:w="6286"/>
      </w:tblGrid>
      <w:tr w:rsidR="0054086C">
        <w:trPr>
          <w:jc w:val="center"/>
        </w:trPr>
        <w:tc>
          <w:tcPr>
            <w:tcW w:w="2376" w:type="dxa"/>
            <w:shd w:val="clear" w:color="auto" w:fill="16324F"/>
            <w:vAlign w:val="center"/>
          </w:tcPr>
          <w:p w:rsidR="0054086C" w:rsidRDefault="00000000">
            <w:r>
              <w:rPr>
                <w:b/>
                <w:color w:val="FFFFFF"/>
                <w:sz w:val="16"/>
              </w:rPr>
              <w:t>Area</w:t>
            </w:r>
          </w:p>
        </w:tc>
        <w:tc>
          <w:tcPr>
            <w:tcW w:w="1656" w:type="dxa"/>
            <w:shd w:val="clear" w:color="auto" w:fill="16324F"/>
            <w:vAlign w:val="center"/>
          </w:tcPr>
          <w:p w:rsidR="0054086C" w:rsidRDefault="00000000">
            <w:r>
              <w:rPr>
                <w:b/>
                <w:color w:val="FFFFFF"/>
                <w:sz w:val="16"/>
              </w:rPr>
              <w:t>Status</w:t>
            </w:r>
          </w:p>
        </w:tc>
        <w:tc>
          <w:tcPr>
            <w:tcW w:w="6336" w:type="dxa"/>
            <w:shd w:val="clear" w:color="auto" w:fill="16324F"/>
            <w:vAlign w:val="center"/>
          </w:tcPr>
          <w:p w:rsidR="0054086C" w:rsidRDefault="00000000">
            <w:r>
              <w:rPr>
                <w:b/>
                <w:color w:val="FFFFFF"/>
                <w:sz w:val="16"/>
              </w:rPr>
              <w:t>Current progress</w:t>
            </w:r>
          </w:p>
        </w:tc>
      </w:tr>
      <w:tr w:rsidR="0054086C">
        <w:trPr>
          <w:jc w:val="center"/>
        </w:trPr>
        <w:tc>
          <w:tcPr>
            <w:tcW w:w="2376" w:type="dxa"/>
            <w:shd w:val="clear" w:color="auto" w:fill="F4F6F8"/>
            <w:vAlign w:val="center"/>
          </w:tcPr>
          <w:p w:rsidR="0054086C" w:rsidRDefault="00000000">
            <w:r>
              <w:rPr>
                <w:sz w:val="16"/>
              </w:rPr>
              <w:t>XAI and explainability</w:t>
            </w:r>
          </w:p>
        </w:tc>
        <w:tc>
          <w:tcPr>
            <w:tcW w:w="1656" w:type="dxa"/>
            <w:vAlign w:val="center"/>
          </w:tcPr>
          <w:p w:rsidR="0054086C" w:rsidRDefault="00000000">
            <w:r>
              <w:rPr>
                <w:sz w:val="16"/>
              </w:rPr>
              <w:t>Studied</w:t>
            </w:r>
          </w:p>
        </w:tc>
        <w:tc>
          <w:tcPr>
            <w:tcW w:w="6336" w:type="dxa"/>
            <w:vAlign w:val="center"/>
          </w:tcPr>
          <w:p w:rsidR="0054086C" w:rsidRDefault="00000000">
            <w:r>
              <w:rPr>
                <w:sz w:val="16"/>
              </w:rPr>
              <w:t>Covered explainability, SHAP, counterfactuals and faithfulness-related concepts.</w:t>
            </w:r>
          </w:p>
        </w:tc>
      </w:tr>
      <w:tr w:rsidR="0054086C">
        <w:trPr>
          <w:jc w:val="center"/>
        </w:trPr>
        <w:tc>
          <w:tcPr>
            <w:tcW w:w="2376" w:type="dxa"/>
            <w:shd w:val="clear" w:color="auto" w:fill="F4F6F8"/>
            <w:vAlign w:val="center"/>
          </w:tcPr>
          <w:p w:rsidR="0054086C" w:rsidRDefault="00000000">
            <w:r>
              <w:rPr>
                <w:sz w:val="16"/>
              </w:rPr>
              <w:t>RAG</w:t>
            </w:r>
          </w:p>
        </w:tc>
        <w:tc>
          <w:tcPr>
            <w:tcW w:w="1656" w:type="dxa"/>
            <w:vAlign w:val="center"/>
          </w:tcPr>
          <w:p w:rsidR="0054086C" w:rsidRDefault="00000000">
            <w:r>
              <w:rPr>
                <w:sz w:val="16"/>
              </w:rPr>
              <w:t>Studied</w:t>
            </w:r>
          </w:p>
        </w:tc>
        <w:tc>
          <w:tcPr>
            <w:tcW w:w="6336" w:type="dxa"/>
            <w:vAlign w:val="center"/>
          </w:tcPr>
          <w:p w:rsidR="0054086C" w:rsidRDefault="00000000">
            <w:r>
              <w:rPr>
                <w:sz w:val="16"/>
              </w:rPr>
              <w:t>Understood retrieval, grounding and the role of external knowledge.</w:t>
            </w:r>
          </w:p>
        </w:tc>
      </w:tr>
      <w:tr w:rsidR="0054086C">
        <w:trPr>
          <w:jc w:val="center"/>
        </w:trPr>
        <w:tc>
          <w:tcPr>
            <w:tcW w:w="2376" w:type="dxa"/>
            <w:shd w:val="clear" w:color="auto" w:fill="F4F6F8"/>
            <w:vAlign w:val="center"/>
          </w:tcPr>
          <w:p w:rsidR="0054086C" w:rsidRDefault="00000000">
            <w:r>
              <w:rPr>
                <w:sz w:val="16"/>
              </w:rPr>
              <w:t>Agentic AI</w:t>
            </w:r>
          </w:p>
        </w:tc>
        <w:tc>
          <w:tcPr>
            <w:tcW w:w="1656" w:type="dxa"/>
            <w:vAlign w:val="center"/>
          </w:tcPr>
          <w:p w:rsidR="0054086C" w:rsidRDefault="00000000">
            <w:r>
              <w:rPr>
                <w:sz w:val="16"/>
              </w:rPr>
              <w:t>Studied</w:t>
            </w:r>
          </w:p>
        </w:tc>
        <w:tc>
          <w:tcPr>
            <w:tcW w:w="6336" w:type="dxa"/>
            <w:vAlign w:val="center"/>
          </w:tcPr>
          <w:p w:rsidR="0054086C" w:rsidRDefault="00000000">
            <w:r>
              <w:rPr>
                <w:sz w:val="16"/>
              </w:rPr>
              <w:t>Defined specialized agents and orchestration.</w:t>
            </w:r>
          </w:p>
        </w:tc>
      </w:tr>
      <w:tr w:rsidR="0054086C">
        <w:trPr>
          <w:jc w:val="center"/>
        </w:trPr>
        <w:tc>
          <w:tcPr>
            <w:tcW w:w="2376" w:type="dxa"/>
            <w:shd w:val="clear" w:color="auto" w:fill="F4F6F8"/>
            <w:vAlign w:val="center"/>
          </w:tcPr>
          <w:p w:rsidR="0054086C" w:rsidRDefault="00000000">
            <w:r>
              <w:rPr>
                <w:sz w:val="16"/>
              </w:rPr>
              <w:t>CWE security knowledge</w:t>
            </w:r>
          </w:p>
        </w:tc>
        <w:tc>
          <w:tcPr>
            <w:tcW w:w="1656" w:type="dxa"/>
            <w:vAlign w:val="center"/>
          </w:tcPr>
          <w:p w:rsidR="0054086C" w:rsidRDefault="00000000">
            <w:r>
              <w:rPr>
                <w:sz w:val="16"/>
              </w:rPr>
              <w:t>Implemented</w:t>
            </w:r>
          </w:p>
        </w:tc>
        <w:tc>
          <w:tcPr>
            <w:tcW w:w="6336" w:type="dxa"/>
            <w:vAlign w:val="center"/>
          </w:tcPr>
          <w:p w:rsidR="0054086C" w:rsidRDefault="00000000">
            <w:r>
              <w:rPr>
                <w:sz w:val="16"/>
              </w:rPr>
              <w:t>Curated store + query API (PR #2). Teaching subset, not a MITRE dump.</w:t>
            </w:r>
          </w:p>
        </w:tc>
      </w:tr>
      <w:tr w:rsidR="0054086C">
        <w:trPr>
          <w:jc w:val="center"/>
        </w:trPr>
        <w:tc>
          <w:tcPr>
            <w:tcW w:w="2376" w:type="dxa"/>
            <w:shd w:val="clear" w:color="auto" w:fill="F4F6F8"/>
            <w:vAlign w:val="center"/>
          </w:tcPr>
          <w:p w:rsidR="0054086C" w:rsidRDefault="00000000">
            <w:r>
              <w:rPr>
                <w:sz w:val="16"/>
              </w:rPr>
              <w:t>Vulnerability detection problem</w:t>
            </w:r>
          </w:p>
        </w:tc>
        <w:tc>
          <w:tcPr>
            <w:tcW w:w="1656" w:type="dxa"/>
            <w:vAlign w:val="center"/>
          </w:tcPr>
          <w:p w:rsidR="0054086C" w:rsidRDefault="00000000">
            <w:r>
              <w:rPr>
                <w:sz w:val="16"/>
              </w:rPr>
              <w:t>Defined</w:t>
            </w:r>
          </w:p>
        </w:tc>
        <w:tc>
          <w:tcPr>
            <w:tcW w:w="6336" w:type="dxa"/>
            <w:vAlign w:val="center"/>
          </w:tcPr>
          <w:p w:rsidR="0054086C" w:rsidRDefault="00000000">
            <w:r>
              <w:rPr>
                <w:sz w:val="16"/>
              </w:rPr>
              <w:t>Focused on precision, false positives, false negatives and explainability.</w:t>
            </w:r>
          </w:p>
        </w:tc>
      </w:tr>
      <w:tr w:rsidR="0054086C">
        <w:trPr>
          <w:jc w:val="center"/>
        </w:trPr>
        <w:tc>
          <w:tcPr>
            <w:tcW w:w="2376" w:type="dxa"/>
            <w:shd w:val="clear" w:color="auto" w:fill="F4F6F8"/>
            <w:vAlign w:val="center"/>
          </w:tcPr>
          <w:p w:rsidR="0054086C" w:rsidRDefault="00000000">
            <w:r>
              <w:rPr>
                <w:sz w:val="16"/>
              </w:rPr>
              <w:t>Static analysis role</w:t>
            </w:r>
          </w:p>
        </w:tc>
        <w:tc>
          <w:tcPr>
            <w:tcW w:w="1656" w:type="dxa"/>
            <w:vAlign w:val="center"/>
          </w:tcPr>
          <w:p w:rsidR="0054086C" w:rsidRDefault="00000000">
            <w:r>
              <w:rPr>
                <w:sz w:val="16"/>
              </w:rPr>
              <w:t>Implemented</w:t>
            </w:r>
          </w:p>
        </w:tc>
        <w:tc>
          <w:tcPr>
            <w:tcW w:w="6336" w:type="dxa"/>
            <w:vAlign w:val="center"/>
          </w:tcPr>
          <w:p w:rsidR="0054086C" w:rsidRDefault="00000000">
            <w:r>
              <w:rPr>
                <w:sz w:val="16"/>
              </w:rPr>
              <w:t>Regex SAST + Evidence spans (PRs #1, #5). Seed-only baseline P=R=F1=1.000.</w:t>
            </w:r>
          </w:p>
        </w:tc>
      </w:tr>
      <w:tr w:rsidR="0054086C">
        <w:trPr>
          <w:jc w:val="center"/>
        </w:trPr>
        <w:tc>
          <w:tcPr>
            <w:tcW w:w="2376" w:type="dxa"/>
            <w:shd w:val="clear" w:color="auto" w:fill="F4F6F8"/>
            <w:vAlign w:val="center"/>
          </w:tcPr>
          <w:p w:rsidR="0054086C" w:rsidRDefault="00000000">
            <w:r>
              <w:rPr>
                <w:sz w:val="16"/>
              </w:rPr>
              <w:t>Hybrid retrieval</w:t>
            </w:r>
          </w:p>
        </w:tc>
        <w:tc>
          <w:tcPr>
            <w:tcW w:w="1656" w:type="dxa"/>
            <w:vAlign w:val="center"/>
          </w:tcPr>
          <w:p w:rsidR="0054086C" w:rsidRDefault="00000000">
            <w:r>
              <w:rPr>
                <w:sz w:val="16"/>
              </w:rPr>
              <w:t>Implemented</w:t>
            </w:r>
          </w:p>
        </w:tc>
        <w:tc>
          <w:tcPr>
            <w:tcW w:w="6336" w:type="dxa"/>
            <w:vAlign w:val="center"/>
          </w:tcPr>
          <w:p w:rsidR="0054086C" w:rsidRDefault="00000000">
            <w:r>
              <w:rPr>
                <w:sz w:val="16"/>
              </w:rPr>
              <w:t>MiniLM cosine + SAST + CWE relationships, RRF. TF-IDF fallback if MiniLM missing.</w:t>
            </w:r>
          </w:p>
        </w:tc>
      </w:tr>
      <w:tr w:rsidR="0054086C">
        <w:trPr>
          <w:jc w:val="center"/>
        </w:trPr>
        <w:tc>
          <w:tcPr>
            <w:tcW w:w="2376" w:type="dxa"/>
            <w:shd w:val="clear" w:color="auto" w:fill="F4F6F8"/>
            <w:vAlign w:val="center"/>
          </w:tcPr>
          <w:p w:rsidR="0054086C" w:rsidRDefault="00000000">
            <w:r>
              <w:rPr>
                <w:sz w:val="16"/>
              </w:rPr>
              <w:t>Cost-aware routing</w:t>
            </w:r>
          </w:p>
        </w:tc>
        <w:tc>
          <w:tcPr>
            <w:tcW w:w="1656" w:type="dxa"/>
            <w:vAlign w:val="center"/>
          </w:tcPr>
          <w:p w:rsidR="0054086C" w:rsidRDefault="00000000">
            <w:r>
              <w:rPr>
                <w:sz w:val="16"/>
              </w:rPr>
              <w:t>Implemented</w:t>
            </w:r>
          </w:p>
        </w:tc>
        <w:tc>
          <w:tcPr>
            <w:tcW w:w="6336" w:type="dxa"/>
            <w:vAlign w:val="center"/>
          </w:tcPr>
          <w:p w:rsidR="0054086C" w:rsidRDefault="00000000">
            <w:r>
              <w:rPr>
                <w:sz w:val="16"/>
              </w:rPr>
              <w:t>Orchestrator SAST-first; Groq LLM only if GROQ_API_KEY is set (CWE_VULN_LLM_API_KEY override).</w:t>
            </w:r>
          </w:p>
        </w:tc>
      </w:tr>
      <w:tr w:rsidR="0054086C">
        <w:trPr>
          <w:jc w:val="center"/>
        </w:trPr>
        <w:tc>
          <w:tcPr>
            <w:tcW w:w="2376" w:type="dxa"/>
            <w:shd w:val="clear" w:color="auto" w:fill="F4F6F8"/>
            <w:vAlign w:val="center"/>
          </w:tcPr>
          <w:p w:rsidR="0054086C" w:rsidRDefault="00000000">
            <w:r>
              <w:rPr>
                <w:sz w:val="16"/>
              </w:rPr>
              <w:t>Multi-agent workflow</w:t>
            </w:r>
          </w:p>
        </w:tc>
        <w:tc>
          <w:tcPr>
            <w:tcW w:w="1656" w:type="dxa"/>
            <w:vAlign w:val="center"/>
          </w:tcPr>
          <w:p w:rsidR="0054086C" w:rsidRDefault="00000000">
            <w:r>
              <w:rPr>
                <w:sz w:val="16"/>
              </w:rPr>
              <w:t>Implemented</w:t>
            </w:r>
          </w:p>
        </w:tc>
        <w:tc>
          <w:tcPr>
            <w:tcW w:w="6336" w:type="dxa"/>
            <w:vAlign w:val="center"/>
          </w:tcPr>
          <w:p w:rsidR="0054086C" w:rsidRDefault="00000000">
            <w:r>
              <w:rPr>
                <w:sz w:val="16"/>
              </w:rPr>
              <w:t>Template + LLM reasoner, validator, framework CLI.</w:t>
            </w:r>
          </w:p>
        </w:tc>
      </w:tr>
      <w:tr w:rsidR="0054086C">
        <w:trPr>
          <w:jc w:val="center"/>
        </w:trPr>
        <w:tc>
          <w:tcPr>
            <w:tcW w:w="2376" w:type="dxa"/>
            <w:shd w:val="clear" w:color="auto" w:fill="F4F6F8"/>
            <w:vAlign w:val="center"/>
          </w:tcPr>
          <w:p w:rsidR="0054086C" w:rsidRDefault="00000000">
            <w:r>
              <w:rPr>
                <w:sz w:val="16"/>
              </w:rPr>
              <w:t>Implementation / evaluation</w:t>
            </w:r>
          </w:p>
        </w:tc>
        <w:tc>
          <w:tcPr>
            <w:tcW w:w="1656" w:type="dxa"/>
            <w:vAlign w:val="center"/>
          </w:tcPr>
          <w:p w:rsidR="0054086C" w:rsidRDefault="00000000">
            <w:r>
              <w:rPr>
                <w:sz w:val="16"/>
              </w:rPr>
              <w:t>Research eval done</w:t>
            </w:r>
          </w:p>
        </w:tc>
        <w:tc>
          <w:tcPr>
            <w:tcW w:w="6336" w:type="dxa"/>
            <w:vAlign w:val="center"/>
          </w:tcPr>
          <w:p w:rsidR="0054086C" w:rsidRDefault="00000000">
            <w:r>
              <w:rPr>
                <w:sz w:val="16"/>
              </w:rPr>
              <w:t>Authored 36-unit corpus. Live Groq trials recorded. Not a public benchmark.</w:t>
            </w:r>
          </w:p>
        </w:tc>
      </w:tr>
    </w:tbl>
    <w:p w:rsidR="0054086C" w:rsidRDefault="00000000">
      <w:pPr>
        <w:pStyle w:val="Heading1"/>
      </w:pPr>
      <w:r>
        <w:t>8. Proposed Project Structure</w:t>
      </w:r>
    </w:p>
    <w:p w:rsidR="0054086C" w:rsidRDefault="00000000">
      <w:pPr>
        <w:spacing w:after="80" w:line="259" w:lineRule="auto"/>
      </w:pPr>
      <w:r>
        <w:t>The repository now uses layered subpackages under src/cwe_vuln/ (models, dataset, knowledge, sast, retrieval, schema, reasoner, validator, orchestrator, framework, cli). Shared DTOs live in models/. Tests mirror those packages. data/ remains the corpus; Java seeds are not inside the Python package.</w:t>
      </w:r>
    </w:p>
    <w:tbl>
      <w:tblPr>
        <w:tblStyle w:val="TableGrid"/>
        <w:tblW w:w="0" w:type="auto"/>
        <w:tblLook w:val="04A0" w:firstRow="1" w:lastRow="0" w:firstColumn="1" w:lastColumn="0" w:noHBand="0" w:noVBand="1"/>
      </w:tblPr>
      <w:tblGrid>
        <w:gridCol w:w="10300"/>
      </w:tblGrid>
      <w:tr w:rsidR="0054086C">
        <w:tc>
          <w:tcPr>
            <w:tcW w:w="10310" w:type="dxa"/>
            <w:shd w:val="clear" w:color="auto" w:fill="F4F6F8"/>
          </w:tcPr>
          <w:p w:rsidR="0054086C" w:rsidRDefault="00000000">
            <w:r>
              <w:rPr>
                <w:rFonts w:ascii="Courier New" w:hAnsi="Courier New"/>
                <w:sz w:val="15"/>
              </w:rPr>
              <w:t>src/cwe_vuln/</w:t>
              <w:br/>
              <w:t xml:space="preserve">  config.py</w:t>
              <w:br/>
              <w:t xml:space="preserve">  models/          Evidence, RankedHit, ReasoningResult, ValidationReport, metrics</w:t>
              <w:br/>
              <w:t xml:space="preserve">  dataset/         SeedUnit, load_seed 8/4, load_research_corpus 36</w:t>
              <w:br/>
              <w:t xml:space="preserve">  knowledge/       CWEKnowledgeBase</w:t>
              <w:br/>
              <w:t xml:space="preserve">  sast/            regex detect + extract_evidence</w:t>
              <w:br/>
              <w:t xml:space="preserve">  retrieval/       MiniLM Embedder + TF-IDF fallback + SAST + RRF</w:t>
              <w:br/>
              <w:t xml:space="preserve">  schema/          JSON Schema validate helpers</w:t>
              <w:br/>
              <w:t xml:space="preserve">  reasoner/        TemplateReasoner + LLMReasoner</w:t>
              <w:br/>
              <w:t xml:space="preserve">  validator/       ResultValidator</w:t>
              <w:br/>
              <w:t xml:space="preserve">  orchestrator/    Pipeline, LLM routing if API key present</w:t>
              <w:br/>
              <w:t xml:space="preserve">  framework/       cwe-vuln-pipeline + cwe-vuln-eval</w:t>
              <w:br/>
              <w:t xml:space="preserve">  cli/             baseline, kb, retrieve, schema, evidence</w:t>
              <w:br/>
              <w:t>data/  docs/  results/  schemas/  tests/ (mirrors packages)</w:t>
            </w:r>
            <w:r>
              <w:rPr>
                <w:rFonts w:ascii="Courier New" w:hAnsi="Courier New"/>
                <w:sz w:val="15"/>
              </w:rPr>
            </w:r>
            <w:r>
              <w:rPr>
                <w:rFonts w:ascii="Courier New" w:hAnsi="Courier New"/>
                <w:sz w:val="15"/>
              </w:rPr>
            </w:r>
            <w:r>
              <w:rPr>
                <w:rFonts w:ascii="Courier New" w:hAnsi="Courier New"/>
                <w:sz w:val="15"/>
              </w:rPr>
            </w:r>
            <w:r>
              <w:rPr>
                <w:rFonts w:ascii="Courier New" w:hAnsi="Courier New"/>
                <w:sz w:val="15"/>
              </w:rPr>
            </w:r>
            <w:r>
              <w:rPr>
                <w:rFonts w:ascii="Courier New" w:hAnsi="Courier New"/>
                <w:sz w:val="15"/>
              </w:rPr>
            </w:r>
            <w:r>
              <w:rPr>
                <w:rFonts w:ascii="Courier New" w:hAnsi="Courier New"/>
                <w:sz w:val="15"/>
              </w:rPr>
            </w:r>
            <w:r>
              <w:rPr>
                <w:rFonts w:ascii="Courier New" w:hAnsi="Courier New"/>
                <w:sz w:val="15"/>
              </w:rPr>
            </w:r>
            <w:r>
              <w:rPr>
                <w:rFonts w:ascii="Courier New" w:hAnsi="Courier New"/>
                <w:sz w:val="15"/>
              </w:rPr>
            </w:r>
            <w:r>
              <w:rPr>
                <w:rFonts w:ascii="Courier New" w:hAnsi="Courier New"/>
                <w:sz w:val="15"/>
              </w:rPr>
            </w:r>
            <w:r>
              <w:rPr>
                <w:rFonts w:ascii="Courier New" w:hAnsi="Courier New"/>
                <w:sz w:val="15"/>
              </w:rPr>
            </w:r>
            <w:r>
              <w:rPr>
                <w:rFonts w:ascii="Courier New" w:hAnsi="Courier New"/>
                <w:sz w:val="15"/>
              </w:rPr>
            </w:r>
            <w:r>
              <w:rPr>
                <w:rFonts w:ascii="Courier New" w:hAnsi="Courier New"/>
                <w:sz w:val="15"/>
              </w:rPr>
            </w:r>
            <w:r>
              <w:rPr>
                <w:rFonts w:ascii="Courier New" w:hAnsi="Courier New"/>
                <w:sz w:val="15"/>
              </w:rPr>
            </w:r>
            <w:r>
              <w:rPr>
                <w:rFonts w:ascii="Courier New" w:hAnsi="Courier New"/>
                <w:sz w:val="15"/>
              </w:rPr>
            </w:r>
            <w:r>
              <w:rPr>
                <w:rFonts w:ascii="Courier New" w:hAnsi="Courier New"/>
                <w:sz w:val="15"/>
              </w:rPr>
            </w:r>
            <w:r>
              <w:rPr>
                <w:rFonts w:ascii="Courier New" w:hAnsi="Courier New"/>
                <w:sz w:val="15"/>
              </w:rPr>
            </w:r>
            <w:r>
              <w:rPr>
                <w:rFonts w:ascii="Courier New" w:hAnsi="Courier New"/>
                <w:sz w:val="15"/>
              </w:rPr>
            </w:r>
            <w:r>
              <w:rPr>
                <w:rFonts w:ascii="Courier New" w:hAnsi="Courier New"/>
                <w:sz w:val="15"/>
              </w:rPr>
            </w:r>
            <w:r>
              <w:rPr>
                <w:rFonts w:ascii="Courier New" w:hAnsi="Courier New"/>
                <w:sz w:val="15"/>
              </w:rPr>
            </w:r>
          </w:p>
        </w:tc>
      </w:tr>
    </w:tbl>
    <w:p w:rsidR="0054086C" w:rsidRDefault="00000000">
      <w:pPr>
        <w:pStyle w:val="Heading1"/>
      </w:pPr>
      <w:r>
        <w:t>9. Key Design Decisions</w:t>
      </w:r>
    </w:p>
    <w:p w:rsidR="0054086C" w:rsidRDefault="00000000">
      <w:pPr>
        <w:pStyle w:val="ListBullet"/>
        <w:spacing w:after="30"/>
        <w:ind w:left="259" w:hanging="173"/>
      </w:pPr>
      <w:r>
        <w:t>SAST provides useful evidence and context, but it is not the final vulnerability decision maker.</w:t>
      </w:r>
    </w:p>
    <w:p w:rsidR="0054086C" w:rsidRDefault="00000000">
      <w:pPr>
        <w:pStyle w:val="ListBullet"/>
        <w:spacing w:after="30"/>
        <w:ind w:left="259" w:hanging="173"/>
      </w:pPr>
      <w:r>
        <w:t>Retrieval confidence and vulnerability confidence are kept separate.</w:t>
      </w:r>
    </w:p>
    <w:p w:rsidR="0054086C" w:rsidRDefault="00000000">
      <w:pPr>
        <w:pStyle w:val="ListBullet"/>
        <w:spacing w:after="30"/>
        <w:ind w:left="259" w:hanging="173"/>
      </w:pPr>
      <w:r>
        <w:t>The orchestrator can choose between cheaper and deeper reasoning paths.</w:t>
      </w:r>
    </w:p>
    <w:p w:rsidR="0054086C" w:rsidRDefault="00000000">
      <w:pPr>
        <w:pStyle w:val="ListBullet"/>
        <w:spacing w:after="30"/>
        <w:ind w:left="259" w:hanging="173"/>
      </w:pPr>
      <w:r>
        <w:t>CWE knowledge is used to ground vulnerability explanations and mappings.</w:t>
      </w:r>
    </w:p>
    <w:p w:rsidR="0054086C" w:rsidRDefault="00000000">
      <w:pPr>
        <w:pStyle w:val="ListBullet"/>
        <w:spacing w:after="30"/>
        <w:ind w:left="259" w:hanging="173"/>
      </w:pPr>
      <w:r>
        <w:t>A validator checks evidence, CWE consistency, contradictions and explanation grounding.</w:t>
      </w:r>
    </w:p>
    <w:p w:rsidR="0054086C" w:rsidRDefault="00000000">
      <w:r>
        <w:br w:type="page"/>
      </w:r>
    </w:p>
    <w:p w:rsidR="0054086C" w:rsidRDefault="00000000">
      <w:pPr>
        <w:pStyle w:val="Heading1"/>
      </w:pPr>
      <w:r>
        <w:lastRenderedPageBreak/>
        <w:t>10. Proposed Architecture</w:t>
      </w:r>
    </w:p>
    <w:p w:rsidR="0054086C" w:rsidRDefault="00000000">
      <w:pPr>
        <w:spacing w:after="80" w:line="259" w:lineRule="auto"/>
      </w:pPr>
      <w:r>
        <w:t>The implemented architecture combines regex SAST evidence, hybrid CWE retrieval (MiniLM cosine with TF-IDF fallback, SAST ids, CWE relationships, RRF), a cost-aware orchestrator, a template reasoner, an LLMReasoner behind the same port, and a validator. Without GROQ_API_KEY (or CWE_VULN_LLM_API_KEY override) the LLM is not constructed. No OpenAI account is required; OPENAI_API_KEY is unused.</w:t>
      </w:r>
    </w:p>
    <w:tbl>
      <w:tblPr>
        <w:tblStyle w:val="TableGrid"/>
        <w:tblW w:w="0" w:type="auto"/>
        <w:jc w:val="center"/>
        <w:tblLook w:val="04A0" w:firstRow="1" w:lastRow="0" w:firstColumn="1" w:lastColumn="0" w:noHBand="0" w:noVBand="1"/>
      </w:tblPr>
      <w:tblGrid>
        <w:gridCol w:w="5150"/>
        <w:gridCol w:w="5150"/>
      </w:tblGrid>
      <w:tr w:rsidR="0054086C">
        <w:trPr>
          <w:jc w:val="center"/>
        </w:trPr>
        <w:tc>
          <w:tcPr>
            <w:tcW w:w="5155" w:type="dxa"/>
            <w:shd w:val="clear" w:color="auto" w:fill="EAF1F7"/>
            <w:vAlign w:val="center"/>
          </w:tcPr>
          <w:p w:rsidR="0054086C" w:rsidRDefault="00000000">
            <w:r>
              <w:rPr>
                <w:b/>
                <w:color w:val="16324F"/>
                <w:sz w:val="17"/>
              </w:rPr>
              <w:t>Source Code</w:t>
            </w:r>
          </w:p>
        </w:tc>
        <w:tc>
          <w:tcPr>
            <w:tcW w:w="5155" w:type="dxa"/>
            <w:shd w:val="clear" w:color="auto" w:fill="F8FAFC"/>
            <w:vAlign w:val="center"/>
          </w:tcPr>
          <w:p w:rsidR="0054086C" w:rsidRDefault="00000000">
            <w:r>
              <w:rPr>
                <w:sz w:val="15"/>
              </w:rPr>
              <w:t>Java source / application code</w:t>
            </w:r>
          </w:p>
        </w:tc>
      </w:tr>
      <w:tr w:rsidR="0054086C">
        <w:trPr>
          <w:jc w:val="center"/>
        </w:trPr>
        <w:tc>
          <w:tcPr>
            <w:tcW w:w="10310" w:type="dxa"/>
            <w:gridSpan w:val="2"/>
            <w:shd w:val="clear" w:color="auto" w:fill="FFFFFF"/>
            <w:vAlign w:val="center"/>
          </w:tcPr>
          <w:p w:rsidR="0054086C" w:rsidRDefault="00000000">
            <w:pPr>
              <w:jc w:val="center"/>
            </w:pPr>
            <w:r>
              <w:rPr>
                <w:b/>
                <w:color w:val="2E6FA3"/>
                <w:sz w:val="22"/>
              </w:rPr>
              <w:t>↓</w:t>
            </w:r>
          </w:p>
        </w:tc>
      </w:tr>
      <w:tr w:rsidR="0054086C">
        <w:trPr>
          <w:jc w:val="center"/>
        </w:trPr>
        <w:tc>
          <w:tcPr>
            <w:tcW w:w="5155" w:type="dxa"/>
            <w:shd w:val="clear" w:color="auto" w:fill="EAF1F7"/>
            <w:vAlign w:val="center"/>
          </w:tcPr>
          <w:p w:rsidR="0054086C" w:rsidRDefault="00000000">
            <w:r>
              <w:rPr>
                <w:b/>
                <w:color w:val="16324F"/>
                <w:sz w:val="17"/>
              </w:rPr>
              <w:t>Static Analysis Agent</w:t>
            </w:r>
          </w:p>
        </w:tc>
        <w:tc>
          <w:tcPr>
            <w:tcW w:w="5155" w:type="dxa"/>
            <w:shd w:val="clear" w:color="auto" w:fill="F8FAFC"/>
            <w:vAlign w:val="center"/>
          </w:tcPr>
          <w:p w:rsidR="0054086C" w:rsidRDefault="00000000">
            <w:r>
              <w:rPr>
                <w:sz w:val="15"/>
              </w:rPr>
              <w:t>APIs • taint sources/sinks • security features • rule-based risk</w:t>
            </w:r>
          </w:p>
        </w:tc>
      </w:tr>
      <w:tr w:rsidR="0054086C">
        <w:trPr>
          <w:jc w:val="center"/>
        </w:trPr>
        <w:tc>
          <w:tcPr>
            <w:tcW w:w="10310" w:type="dxa"/>
            <w:gridSpan w:val="2"/>
            <w:shd w:val="clear" w:color="auto" w:fill="FFFFFF"/>
            <w:vAlign w:val="center"/>
          </w:tcPr>
          <w:p w:rsidR="0054086C" w:rsidRDefault="00000000">
            <w:pPr>
              <w:jc w:val="center"/>
            </w:pPr>
            <w:r>
              <w:rPr>
                <w:b/>
                <w:color w:val="2E6FA3"/>
                <w:sz w:val="22"/>
              </w:rPr>
              <w:t>↓</w:t>
            </w:r>
          </w:p>
        </w:tc>
      </w:tr>
      <w:tr w:rsidR="0054086C">
        <w:trPr>
          <w:jc w:val="center"/>
        </w:trPr>
        <w:tc>
          <w:tcPr>
            <w:tcW w:w="5155" w:type="dxa"/>
            <w:shd w:val="clear" w:color="auto" w:fill="EAF1F7"/>
            <w:vAlign w:val="center"/>
          </w:tcPr>
          <w:p w:rsidR="0054086C" w:rsidRDefault="00000000">
            <w:r>
              <w:rPr>
                <w:b/>
                <w:color w:val="16324F"/>
                <w:sz w:val="17"/>
              </w:rPr>
              <w:t>Hybrid Retrieval Agent</w:t>
            </w:r>
          </w:p>
        </w:tc>
        <w:tc>
          <w:tcPr>
            <w:tcW w:w="5155" w:type="dxa"/>
            <w:shd w:val="clear" w:color="auto" w:fill="F8FAFC"/>
            <w:vAlign w:val="center"/>
          </w:tcPr>
          <w:p w:rsidR="0054086C" w:rsidRDefault="00000000">
            <w:r>
              <w:rPr>
                <w:sz w:val="15"/>
              </w:rPr>
              <w:t>CWE database • knowledge graph • semantic search • rules • API matching</w:t>
            </w:r>
          </w:p>
        </w:tc>
      </w:tr>
      <w:tr w:rsidR="0054086C">
        <w:trPr>
          <w:jc w:val="center"/>
        </w:trPr>
        <w:tc>
          <w:tcPr>
            <w:tcW w:w="10310" w:type="dxa"/>
            <w:gridSpan w:val="2"/>
            <w:shd w:val="clear" w:color="auto" w:fill="FFFFFF"/>
            <w:vAlign w:val="center"/>
          </w:tcPr>
          <w:p w:rsidR="0054086C" w:rsidRDefault="00000000">
            <w:pPr>
              <w:jc w:val="center"/>
            </w:pPr>
            <w:r>
              <w:rPr>
                <w:b/>
                <w:color w:val="2E6FA3"/>
                <w:sz w:val="22"/>
              </w:rPr>
              <w:t>↓</w:t>
            </w:r>
          </w:p>
        </w:tc>
      </w:tr>
      <w:tr w:rsidR="0054086C">
        <w:trPr>
          <w:jc w:val="center"/>
        </w:trPr>
        <w:tc>
          <w:tcPr>
            <w:tcW w:w="5155" w:type="dxa"/>
            <w:shd w:val="clear" w:color="auto" w:fill="EAF1F7"/>
            <w:vAlign w:val="center"/>
          </w:tcPr>
          <w:p w:rsidR="0054086C" w:rsidRDefault="00000000">
            <w:r>
              <w:rPr>
                <w:b/>
                <w:color w:val="16324F"/>
                <w:sz w:val="17"/>
              </w:rPr>
              <w:t>Cost-Aware Orchestrator</w:t>
            </w:r>
          </w:p>
        </w:tc>
        <w:tc>
          <w:tcPr>
            <w:tcW w:w="5155" w:type="dxa"/>
            <w:shd w:val="clear" w:color="auto" w:fill="F8FAFC"/>
            <w:vAlign w:val="center"/>
          </w:tcPr>
          <w:p w:rsidR="0054086C" w:rsidRDefault="00000000">
            <w:r>
              <w:rPr>
                <w:sz w:val="15"/>
              </w:rPr>
              <w:t>risk score • retrieval confidence • evidence coverage</w:t>
            </w:r>
          </w:p>
        </w:tc>
      </w:tr>
      <w:tr w:rsidR="0054086C">
        <w:trPr>
          <w:jc w:val="center"/>
        </w:trPr>
        <w:tc>
          <w:tcPr>
            <w:tcW w:w="10310" w:type="dxa"/>
            <w:gridSpan w:val="2"/>
            <w:shd w:val="clear" w:color="auto" w:fill="FFFFFF"/>
            <w:vAlign w:val="center"/>
          </w:tcPr>
          <w:p w:rsidR="0054086C" w:rsidRDefault="00000000">
            <w:pPr>
              <w:jc w:val="center"/>
            </w:pPr>
            <w:r>
              <w:rPr>
                <w:b/>
                <w:color w:val="2E6FA3"/>
                <w:sz w:val="22"/>
              </w:rPr>
              <w:t>↓</w:t>
            </w:r>
          </w:p>
        </w:tc>
      </w:tr>
      <w:tr w:rsidR="0054086C">
        <w:trPr>
          <w:jc w:val="center"/>
        </w:trPr>
        <w:tc>
          <w:tcPr>
            <w:tcW w:w="5155" w:type="dxa"/>
            <w:shd w:val="clear" w:color="auto" w:fill="EAF1F7"/>
            <w:vAlign w:val="center"/>
          </w:tcPr>
          <w:p w:rsidR="0054086C" w:rsidRDefault="00000000">
            <w:r>
              <w:rPr>
                <w:b/>
                <w:color w:val="16324F"/>
                <w:sz w:val="17"/>
              </w:rPr>
              <w:t>Routing Decision</w:t>
            </w:r>
          </w:p>
        </w:tc>
        <w:tc>
          <w:tcPr>
            <w:tcW w:w="5155" w:type="dxa"/>
            <w:shd w:val="clear" w:color="auto" w:fill="F8FAFC"/>
            <w:vAlign w:val="center"/>
          </w:tcPr>
          <w:p w:rsidR="0054086C" w:rsidRDefault="00000000">
            <w:r>
              <w:rPr>
                <w:sz w:val="15"/>
              </w:rPr>
              <w:t>cheaper path OR deeper reasoning</w:t>
            </w:r>
          </w:p>
        </w:tc>
      </w:tr>
      <w:tr w:rsidR="0054086C">
        <w:trPr>
          <w:jc w:val="center"/>
        </w:trPr>
        <w:tc>
          <w:tcPr>
            <w:tcW w:w="10310" w:type="dxa"/>
            <w:gridSpan w:val="2"/>
            <w:shd w:val="clear" w:color="auto" w:fill="FFFFFF"/>
            <w:vAlign w:val="center"/>
          </w:tcPr>
          <w:p w:rsidR="0054086C" w:rsidRDefault="00000000">
            <w:pPr>
              <w:jc w:val="center"/>
            </w:pPr>
            <w:r>
              <w:rPr>
                <w:b/>
                <w:color w:val="2E6FA3"/>
                <w:sz w:val="22"/>
              </w:rPr>
              <w:t>↓</w:t>
            </w:r>
          </w:p>
        </w:tc>
      </w:tr>
      <w:tr w:rsidR="0054086C">
        <w:trPr>
          <w:jc w:val="center"/>
        </w:trPr>
        <w:tc>
          <w:tcPr>
            <w:tcW w:w="5155" w:type="dxa"/>
            <w:shd w:val="clear" w:color="auto" w:fill="EAF1F7"/>
            <w:vAlign w:val="center"/>
          </w:tcPr>
          <w:p w:rsidR="0054086C" w:rsidRDefault="00000000">
            <w:r>
              <w:rPr>
                <w:b/>
                <w:color w:val="16324F"/>
                <w:sz w:val="17"/>
              </w:rPr>
              <w:t>Reasoning Agent</w:t>
            </w:r>
          </w:p>
        </w:tc>
        <w:tc>
          <w:tcPr>
            <w:tcW w:w="5155" w:type="dxa"/>
            <w:shd w:val="clear" w:color="auto" w:fill="F8FAFC"/>
            <w:vAlign w:val="center"/>
          </w:tcPr>
          <w:p w:rsidR="0054086C" w:rsidRDefault="00000000">
            <w:r>
              <w:rPr>
                <w:sz w:val="15"/>
              </w:rPr>
              <w:t>vulnerability analysis • CWE mapping • root cause • remediation</w:t>
            </w:r>
          </w:p>
        </w:tc>
      </w:tr>
      <w:tr w:rsidR="0054086C">
        <w:trPr>
          <w:jc w:val="center"/>
        </w:trPr>
        <w:tc>
          <w:tcPr>
            <w:tcW w:w="10310" w:type="dxa"/>
            <w:gridSpan w:val="2"/>
            <w:shd w:val="clear" w:color="auto" w:fill="FFFFFF"/>
            <w:vAlign w:val="center"/>
          </w:tcPr>
          <w:p w:rsidR="0054086C" w:rsidRDefault="00000000">
            <w:pPr>
              <w:jc w:val="center"/>
            </w:pPr>
            <w:r>
              <w:rPr>
                <w:b/>
                <w:color w:val="2E6FA3"/>
                <w:sz w:val="22"/>
              </w:rPr>
              <w:t>↓</w:t>
            </w:r>
          </w:p>
        </w:tc>
      </w:tr>
      <w:tr w:rsidR="0054086C">
        <w:trPr>
          <w:jc w:val="center"/>
        </w:trPr>
        <w:tc>
          <w:tcPr>
            <w:tcW w:w="5155" w:type="dxa"/>
            <w:shd w:val="clear" w:color="auto" w:fill="EAF1F7"/>
            <w:vAlign w:val="center"/>
          </w:tcPr>
          <w:p w:rsidR="0054086C" w:rsidRDefault="00000000">
            <w:r>
              <w:rPr>
                <w:b/>
                <w:color w:val="16324F"/>
                <w:sz w:val="17"/>
              </w:rPr>
              <w:t>Validator Agent</w:t>
            </w:r>
          </w:p>
        </w:tc>
        <w:tc>
          <w:tcPr>
            <w:tcW w:w="5155" w:type="dxa"/>
            <w:shd w:val="clear" w:color="auto" w:fill="F8FAFC"/>
            <w:vAlign w:val="center"/>
          </w:tcPr>
          <w:p w:rsidR="0054086C" w:rsidRDefault="00000000">
            <w:r>
              <w:rPr>
                <w:sz w:val="15"/>
              </w:rPr>
              <w:t>code evidence • CWE consistency • grounding • contradiction checks</w:t>
            </w:r>
          </w:p>
        </w:tc>
      </w:tr>
      <w:tr w:rsidR="0054086C">
        <w:trPr>
          <w:jc w:val="center"/>
        </w:trPr>
        <w:tc>
          <w:tcPr>
            <w:tcW w:w="10310" w:type="dxa"/>
            <w:gridSpan w:val="2"/>
            <w:shd w:val="clear" w:color="auto" w:fill="FFFFFF"/>
            <w:vAlign w:val="center"/>
          </w:tcPr>
          <w:p w:rsidR="0054086C" w:rsidRDefault="00000000">
            <w:pPr>
              <w:jc w:val="center"/>
            </w:pPr>
            <w:r>
              <w:rPr>
                <w:b/>
                <w:color w:val="2E6FA3"/>
                <w:sz w:val="22"/>
              </w:rPr>
              <w:t>↓</w:t>
            </w:r>
          </w:p>
        </w:tc>
      </w:tr>
      <w:tr w:rsidR="0054086C">
        <w:trPr>
          <w:jc w:val="center"/>
        </w:trPr>
        <w:tc>
          <w:tcPr>
            <w:tcW w:w="5155" w:type="dxa"/>
            <w:shd w:val="clear" w:color="auto" w:fill="EAF1F7"/>
            <w:vAlign w:val="center"/>
          </w:tcPr>
          <w:p w:rsidR="0054086C" w:rsidRDefault="00000000">
            <w:r>
              <w:rPr>
                <w:b/>
                <w:color w:val="16324F"/>
                <w:sz w:val="17"/>
              </w:rPr>
              <w:t>Confidence Fusion</w:t>
            </w:r>
          </w:p>
        </w:tc>
        <w:tc>
          <w:tcPr>
            <w:tcW w:w="5155" w:type="dxa"/>
            <w:shd w:val="clear" w:color="auto" w:fill="F8FAFC"/>
            <w:vAlign w:val="center"/>
          </w:tcPr>
          <w:p w:rsidR="0054086C" w:rsidRDefault="00000000">
            <w:r>
              <w:rPr>
                <w:sz w:val="15"/>
              </w:rPr>
              <w:t>risk • retrieval • reasoning • evidence</w:t>
            </w:r>
          </w:p>
        </w:tc>
      </w:tr>
      <w:tr w:rsidR="0054086C">
        <w:trPr>
          <w:jc w:val="center"/>
        </w:trPr>
        <w:tc>
          <w:tcPr>
            <w:tcW w:w="10310" w:type="dxa"/>
            <w:gridSpan w:val="2"/>
            <w:shd w:val="clear" w:color="auto" w:fill="FFFFFF"/>
            <w:vAlign w:val="center"/>
          </w:tcPr>
          <w:p w:rsidR="0054086C" w:rsidRDefault="00000000">
            <w:pPr>
              <w:jc w:val="center"/>
            </w:pPr>
            <w:r>
              <w:rPr>
                <w:b/>
                <w:color w:val="2E6FA3"/>
                <w:sz w:val="22"/>
              </w:rPr>
              <w:t>↓</w:t>
            </w:r>
          </w:p>
        </w:tc>
      </w:tr>
      <w:tr w:rsidR="0054086C">
        <w:trPr>
          <w:jc w:val="center"/>
        </w:trPr>
        <w:tc>
          <w:tcPr>
            <w:tcW w:w="5155" w:type="dxa"/>
            <w:shd w:val="clear" w:color="auto" w:fill="EAF1F7"/>
            <w:vAlign w:val="center"/>
          </w:tcPr>
          <w:p w:rsidR="0054086C" w:rsidRDefault="00000000">
            <w:r>
              <w:rPr>
                <w:b/>
                <w:color w:val="16324F"/>
                <w:sz w:val="17"/>
              </w:rPr>
              <w:t>Explainable Vulnerability Report</w:t>
            </w:r>
          </w:p>
        </w:tc>
        <w:tc>
          <w:tcPr>
            <w:tcW w:w="5155" w:type="dxa"/>
            <w:shd w:val="clear" w:color="auto" w:fill="F8FAFC"/>
            <w:vAlign w:val="center"/>
          </w:tcPr>
          <w:p w:rsidR="0054086C" w:rsidRDefault="00000000">
            <w:r>
              <w:rPr>
                <w:sz w:val="15"/>
              </w:rPr>
              <w:t>vulnerability • CWE • evidence • explanation • remediation</w:t>
            </w:r>
          </w:p>
        </w:tc>
      </w:tr>
    </w:tbl>
    <w:p w:rsidR="0054086C" w:rsidRDefault="0054086C"/>
    <w:tbl>
      <w:tblPr>
        <w:tblStyle w:val="TableGrid"/>
        <w:tblW w:w="0" w:type="auto"/>
        <w:tblLook w:val="04A0" w:firstRow="1" w:lastRow="0" w:firstColumn="1" w:lastColumn="0" w:noHBand="0" w:noVBand="1"/>
      </w:tblPr>
      <w:tblGrid>
        <w:gridCol w:w="10300"/>
      </w:tblGrid>
      <w:tr w:rsidR="0054086C">
        <w:tc>
          <w:tcPr>
            <w:tcW w:w="10310" w:type="dxa"/>
            <w:shd w:val="clear" w:color="auto" w:fill="EAF1F7"/>
            <w:vAlign w:val="center"/>
          </w:tcPr>
          <w:p w:rsidR="0054086C" w:rsidRDefault="00000000">
            <w:pPr>
              <w:jc w:val="center"/>
            </w:pPr>
            <w:r>
              <w:rPr>
                <w:b/>
                <w:color w:val="16324F"/>
                <w:sz w:val="16"/>
              </w:rPr>
              <w:t>CWE Knowledge Base + Knowledge Graph + Secure Coding Guidance + Vulnerability Examples → evidence for retrieval and explanation</w:t>
            </w:r>
          </w:p>
        </w:tc>
      </w:tr>
    </w:tbl>
    <w:p w:rsidR="0054086C" w:rsidRDefault="00000000">
      <w:pPr>
        <w:pStyle w:val="Heading2"/>
      </w:pPr>
      <w:r>
        <w:t>Architecture Explanation</w:t>
      </w:r>
    </w:p>
    <w:p w:rsidR="0054086C" w:rsidRDefault="00000000">
      <w:pPr>
        <w:spacing w:after="80" w:line="259" w:lineRule="auto"/>
      </w:pPr>
      <w:r>
        <w:t>The SAST layer runs seed-oriented regex rules and emits Evidence objects (file, lines, snippet, CWE id hint). It does not embed CWE encyclopedia text; names and mitigations come from the knowledge store. A “safe” regex result is not treated as a hard proof of absence — the pipeline still retrieves CWE context for explanation.</w:t>
      </w:r>
    </w:p>
    <w:p w:rsidR="0054086C" w:rsidRDefault="00000000">
      <w:pPr>
        <w:spacing w:after="80" w:line="259" w:lineRule="auto"/>
      </w:pPr>
      <w:r>
        <w:t>The hybrid retrieval layer ranks curated CWE entries using MiniLM cosine when the local all-MiniLM-L6-v2 model is available, otherwise TF-IDF, plus SAST-matched CWE ids and one-hop CWE relationships, fused with Reciprocal Rank Fusion. If MiniLM cannot load, results record embedder=tfidf_fallback. Retrieval confidence is not a vulnerability decision.</w:t>
      </w:r>
    </w:p>
    <w:p w:rsidR="0054086C" w:rsidRDefault="00000000">
      <w:pPr>
        <w:spacing w:after="80" w:line="259" w:lineRule="auto"/>
      </w:pPr>
      <w:r>
        <w:t>The cost-aware orchestrator runs SAST first. If no GROQ_API_KEY or CWE_VULN_LLM_API_KEY is set, the LLM is skipped and TemplateReasoner runs. With a key, the path is sast_then_llm or hybrid_retrieve_then_llm unless skip_llm_when_sast_hits is set. Default model is Groq openai/gpt-oss-20b at https://api.groq.com/openai/v1. No OpenAI account is required; OPENAI_API_KEY is unused.</w:t>
      </w:r>
    </w:p>
    <w:p w:rsidR="0054086C" w:rsidRDefault="00000000">
      <w:pPr>
        <w:spacing w:after="80" w:line="259" w:lineRule="auto"/>
      </w:pPr>
      <w:r>
        <w:t>The validator checks schema validity, that the cited CWE exists in the knowledge store, that supporting source lines exist in the Java unit, and that the decision is consistent with SAST evidence. Framework metrics compare decisions to seed labels.</w:t>
      </w:r>
    </w:p>
    <w:p w:rsidR="0054086C" w:rsidRDefault="00000000">
      <w:pPr>
        <w:pStyle w:val="Heading2"/>
      </w:pPr>
      <w:r>
        <w:t>Expected Explainable Output</w:t>
      </w:r>
    </w:p>
    <w:p w:rsidR="0054086C" w:rsidRDefault="00000000">
      <w:pPr>
        <w:pStyle w:val="ListBullet"/>
        <w:spacing w:after="30"/>
        <w:ind w:left="259" w:hanging="173"/>
      </w:pPr>
      <w:r>
        <w:t>Vulnerability type and description.</w:t>
      </w:r>
    </w:p>
    <w:p w:rsidR="0054086C" w:rsidRDefault="00000000">
      <w:pPr>
        <w:pStyle w:val="ListBullet"/>
        <w:spacing w:after="30"/>
        <w:ind w:left="259" w:hanging="173"/>
      </w:pPr>
      <w:r>
        <w:t>Predicted CWE and relevant CWE evidence.</w:t>
      </w:r>
    </w:p>
    <w:p w:rsidR="0054086C" w:rsidRDefault="00000000">
      <w:pPr>
        <w:pStyle w:val="ListBullet"/>
        <w:spacing w:after="30"/>
        <w:ind w:left="259" w:hanging="173"/>
      </w:pPr>
      <w:r>
        <w:t>Supporting source-code lines.</w:t>
      </w:r>
    </w:p>
    <w:p w:rsidR="0054086C" w:rsidRDefault="00000000">
      <w:pPr>
        <w:pStyle w:val="ListBullet"/>
        <w:spacing w:after="30"/>
        <w:ind w:left="259" w:hanging="173"/>
      </w:pPr>
      <w:r>
        <w:t>Root-cause explanation.</w:t>
      </w:r>
    </w:p>
    <w:p w:rsidR="0054086C" w:rsidRDefault="00000000">
      <w:pPr>
        <w:pStyle w:val="ListBullet"/>
        <w:spacing w:after="30"/>
        <w:ind w:left="259" w:hanging="173"/>
      </w:pPr>
      <w:r>
        <w:t>Confidence information and supporting signals.</w:t>
      </w:r>
    </w:p>
    <w:p w:rsidR="0054086C" w:rsidRDefault="00000000">
      <w:pPr>
        <w:pStyle w:val="ListBullet"/>
        <w:spacing w:after="30"/>
        <w:ind w:left="259" w:hanging="173"/>
      </w:pPr>
      <w:r>
        <w:t>Recommended remediation guidance.</w:t>
      </w:r>
    </w:p>
    <w:p w:rsidR="0054086C" w:rsidRDefault="00000000">
      <w:r>
        <w:br w:type="page"/>
      </w:r>
    </w:p>
    <w:p w:rsidR="0054086C" w:rsidRDefault="00000000">
      <w:pPr>
        <w:pStyle w:val="Heading1"/>
      </w:pPr>
      <w:r>
        <w:lastRenderedPageBreak/>
        <w:t>11. Current Status and Next Steps</w:t>
      </w:r>
    </w:p>
    <w:p w:rsidR="0054086C" w:rsidRDefault="00000000">
      <w:pPr>
        <w:spacing w:after="80" w:line="259" w:lineRule="auto"/>
      </w:pPr>
      <w:r>
        <w:t>The seed pipeline is implemented and runnable: uv sync &amp;&amp; uv run pytest &amp;&amp; uv run cwe-vuln-pipeline. Assignment 1 detection on 12 units P=R=F1=1.000 (seed-only). Research evaluation on 24 held-out authored traps: SAST/template P=R=F1=0.000 (12 FP / 12 FN); live Groq then_llm P=0.857 R=1.000 F1=0.923; skip_llm P=0.500 R=1.000 F1=0.667. Retrieval on 48 authored queries: hybrid R@1=0.854 MRR=0.917 vs MiniLM 0.812 / 0.894 vs TF-IDF 0.646 / 0.794. Public-benchmark evaluation is not claimed.</w:t>
      </w:r>
    </w:p>
    <w:tbl>
      <w:tblPr>
        <w:tblStyle w:val="TableGrid"/>
        <w:tblW w:w="0" w:type="auto"/>
        <w:jc w:val="center"/>
        <w:tblLook w:val="04A0" w:firstRow="1" w:lastRow="0" w:firstColumn="1" w:lastColumn="0" w:noHBand="0" w:noVBand="1"/>
      </w:tblPr>
      <w:tblGrid>
        <w:gridCol w:w="2406"/>
        <w:gridCol w:w="1635"/>
        <w:gridCol w:w="6259"/>
      </w:tblGrid>
      <w:tr w:rsidR="0054086C">
        <w:trPr>
          <w:jc w:val="center"/>
        </w:trPr>
        <w:tc>
          <w:tcPr>
            <w:tcW w:w="2448" w:type="dxa"/>
            <w:shd w:val="clear" w:color="auto" w:fill="16324F"/>
            <w:vAlign w:val="center"/>
          </w:tcPr>
          <w:p w:rsidR="0054086C" w:rsidRDefault="00000000">
            <w:r>
              <w:rPr>
                <w:b/>
                <w:color w:val="FFFFFF"/>
                <w:sz w:val="16"/>
              </w:rPr>
              <w:t>Component</w:t>
            </w:r>
          </w:p>
        </w:tc>
        <w:tc>
          <w:tcPr>
            <w:tcW w:w="1656" w:type="dxa"/>
            <w:shd w:val="clear" w:color="auto" w:fill="16324F"/>
            <w:vAlign w:val="center"/>
          </w:tcPr>
          <w:p w:rsidR="0054086C" w:rsidRDefault="00000000">
            <w:r>
              <w:rPr>
                <w:b/>
                <w:color w:val="FFFFFF"/>
                <w:sz w:val="16"/>
              </w:rPr>
              <w:t>Status</w:t>
            </w:r>
          </w:p>
        </w:tc>
        <w:tc>
          <w:tcPr>
            <w:tcW w:w="6408" w:type="dxa"/>
            <w:shd w:val="clear" w:color="auto" w:fill="16324F"/>
            <w:vAlign w:val="center"/>
          </w:tcPr>
          <w:p w:rsidR="0054086C" w:rsidRDefault="00000000">
            <w:r>
              <w:rPr>
                <w:b/>
                <w:color w:val="FFFFFF"/>
                <w:sz w:val="16"/>
              </w:rPr>
              <w:t>Next step</w:t>
            </w:r>
          </w:p>
        </w:tc>
      </w:tr>
      <w:tr w:rsidR="0054086C">
        <w:trPr>
          <w:jc w:val="center"/>
        </w:trPr>
        <w:tc>
          <w:tcPr>
            <w:tcW w:w="2448" w:type="dxa"/>
            <w:shd w:val="clear" w:color="auto" w:fill="F4F6F8"/>
            <w:vAlign w:val="center"/>
          </w:tcPr>
          <w:p w:rsidR="0054086C" w:rsidRDefault="00000000">
            <w:r>
              <w:rPr>
                <w:sz w:val="16"/>
              </w:rPr>
              <w:t>Research direction</w:t>
            </w:r>
          </w:p>
        </w:tc>
        <w:tc>
          <w:tcPr>
            <w:tcW w:w="1656" w:type="dxa"/>
            <w:vAlign w:val="center"/>
          </w:tcPr>
          <w:p w:rsidR="0054086C" w:rsidRDefault="00000000">
            <w:r>
              <w:rPr>
                <w:sz w:val="16"/>
              </w:rPr>
              <w:t>Defined</w:t>
            </w:r>
          </w:p>
        </w:tc>
        <w:tc>
          <w:tcPr>
            <w:tcW w:w="6408" w:type="dxa"/>
            <w:vAlign w:val="center"/>
          </w:tcPr>
          <w:p w:rsidR="0054086C" w:rsidRDefault="00000000">
            <w:r>
              <w:rPr>
                <w:sz w:val="16"/>
              </w:rPr>
              <w:t>Continue literature study around vulnerability detection, RAG and multi-agent systems.</w:t>
            </w:r>
          </w:p>
        </w:tc>
      </w:tr>
      <w:tr w:rsidR="0054086C">
        <w:trPr>
          <w:jc w:val="center"/>
        </w:trPr>
        <w:tc>
          <w:tcPr>
            <w:tcW w:w="2448" w:type="dxa"/>
            <w:shd w:val="clear" w:color="auto" w:fill="F4F6F8"/>
            <w:vAlign w:val="center"/>
          </w:tcPr>
          <w:p w:rsidR="0054086C" w:rsidRDefault="00000000">
            <w:r>
              <w:rPr>
                <w:sz w:val="16"/>
              </w:rPr>
              <w:t>Problem formulation</w:t>
            </w:r>
          </w:p>
        </w:tc>
        <w:tc>
          <w:tcPr>
            <w:tcW w:w="1656" w:type="dxa"/>
            <w:vAlign w:val="center"/>
          </w:tcPr>
          <w:p w:rsidR="0054086C" w:rsidRDefault="00000000">
            <w:r>
              <w:rPr>
                <w:sz w:val="16"/>
              </w:rPr>
              <w:t>Completed</w:t>
            </w:r>
          </w:p>
        </w:tc>
        <w:tc>
          <w:tcPr>
            <w:tcW w:w="6408" w:type="dxa"/>
            <w:vAlign w:val="center"/>
          </w:tcPr>
          <w:p w:rsidR="0054086C" w:rsidRDefault="00000000">
            <w:r>
              <w:rPr>
                <w:sz w:val="16"/>
              </w:rPr>
              <w:t>Keep evaluation criteria seed-only until an external dataset is adopted.</w:t>
            </w:r>
          </w:p>
        </w:tc>
      </w:tr>
      <w:tr w:rsidR="0054086C">
        <w:trPr>
          <w:jc w:val="center"/>
        </w:trPr>
        <w:tc>
          <w:tcPr>
            <w:tcW w:w="2448" w:type="dxa"/>
            <w:shd w:val="clear" w:color="auto" w:fill="F4F6F8"/>
            <w:vAlign w:val="center"/>
          </w:tcPr>
          <w:p w:rsidR="0054086C" w:rsidRDefault="00000000">
            <w:r>
              <w:rPr>
                <w:sz w:val="16"/>
              </w:rPr>
              <w:t>CWE knowledge layer</w:t>
            </w:r>
          </w:p>
        </w:tc>
        <w:tc>
          <w:tcPr>
            <w:tcW w:w="1656" w:type="dxa"/>
            <w:vAlign w:val="center"/>
          </w:tcPr>
          <w:p w:rsidR="0054086C" w:rsidRDefault="00000000">
            <w:r>
              <w:rPr>
                <w:sz w:val="16"/>
              </w:rPr>
              <w:t>Implemented</w:t>
            </w:r>
          </w:p>
        </w:tc>
        <w:tc>
          <w:tcPr>
            <w:tcW w:w="6408" w:type="dxa"/>
            <w:vAlign w:val="center"/>
          </w:tcPr>
          <w:p w:rsidR="0054086C" w:rsidRDefault="00000000">
            <w:r>
              <w:rPr>
                <w:sz w:val="16"/>
              </w:rPr>
              <w:t>Optional: enlarge the curated subset; do not scrape a messy dump.</w:t>
            </w:r>
          </w:p>
        </w:tc>
      </w:tr>
      <w:tr w:rsidR="0054086C">
        <w:trPr>
          <w:jc w:val="center"/>
        </w:trPr>
        <w:tc>
          <w:tcPr>
            <w:tcW w:w="2448" w:type="dxa"/>
            <w:shd w:val="clear" w:color="auto" w:fill="F4F6F8"/>
            <w:vAlign w:val="center"/>
          </w:tcPr>
          <w:p w:rsidR="0054086C" w:rsidRDefault="00000000">
            <w:r>
              <w:rPr>
                <w:sz w:val="16"/>
              </w:rPr>
              <w:t>Static analysis</w:t>
            </w:r>
          </w:p>
        </w:tc>
        <w:tc>
          <w:tcPr>
            <w:tcW w:w="1656" w:type="dxa"/>
            <w:vAlign w:val="center"/>
          </w:tcPr>
          <w:p w:rsidR="0054086C" w:rsidRDefault="00000000">
            <w:r>
              <w:rPr>
                <w:sz w:val="16"/>
              </w:rPr>
              <w:t>Implemented</w:t>
            </w:r>
          </w:p>
        </w:tc>
        <w:tc>
          <w:tcPr>
            <w:tcW w:w="6408" w:type="dxa"/>
            <w:vAlign w:val="center"/>
          </w:tcPr>
          <w:p w:rsidR="0054086C" w:rsidRDefault="00000000">
            <w:r>
              <w:rPr>
                <w:sz w:val="16"/>
              </w:rPr>
              <w:t>Regex evidence extraction on the 12-unit Java seed.</w:t>
            </w:r>
          </w:p>
        </w:tc>
      </w:tr>
      <w:tr w:rsidR="0054086C">
        <w:trPr>
          <w:jc w:val="center"/>
        </w:trPr>
        <w:tc>
          <w:tcPr>
            <w:tcW w:w="2448" w:type="dxa"/>
            <w:shd w:val="clear" w:color="auto" w:fill="F4F6F8"/>
            <w:vAlign w:val="center"/>
          </w:tcPr>
          <w:p w:rsidR="0054086C" w:rsidRDefault="00000000">
            <w:r>
              <w:rPr>
                <w:sz w:val="16"/>
              </w:rPr>
              <w:t>Hybrid retrieval</w:t>
            </w:r>
          </w:p>
        </w:tc>
        <w:tc>
          <w:tcPr>
            <w:tcW w:w="1656" w:type="dxa"/>
            <w:vAlign w:val="center"/>
          </w:tcPr>
          <w:p w:rsidR="0054086C" w:rsidRDefault="00000000">
            <w:r>
              <w:rPr>
                <w:sz w:val="16"/>
              </w:rPr>
              <w:t>Implemented</w:t>
            </w:r>
          </w:p>
        </w:tc>
        <w:tc>
          <w:tcPr>
            <w:tcW w:w="6408" w:type="dxa"/>
            <w:vAlign w:val="center"/>
          </w:tcPr>
          <w:p w:rsidR="0054086C" w:rsidRDefault="00000000">
            <w:r>
              <w:rPr>
                <w:sz w:val="16"/>
              </w:rPr>
              <w:t>MiniLM with TF-IDF fallback; seed-only metrics in results/.</w:t>
            </w:r>
          </w:p>
        </w:tc>
      </w:tr>
      <w:tr w:rsidR="0054086C">
        <w:trPr>
          <w:jc w:val="center"/>
        </w:trPr>
        <w:tc>
          <w:tcPr>
            <w:tcW w:w="2448" w:type="dxa"/>
            <w:shd w:val="clear" w:color="auto" w:fill="F4F6F8"/>
            <w:vAlign w:val="center"/>
          </w:tcPr>
          <w:p w:rsidR="0054086C" w:rsidRDefault="00000000">
            <w:r>
              <w:rPr>
                <w:sz w:val="16"/>
              </w:rPr>
              <w:t>Cost-aware orchestrator</w:t>
            </w:r>
          </w:p>
        </w:tc>
        <w:tc>
          <w:tcPr>
            <w:tcW w:w="1656" w:type="dxa"/>
            <w:vAlign w:val="center"/>
          </w:tcPr>
          <w:p w:rsidR="0054086C" w:rsidRDefault="00000000">
            <w:r>
              <w:rPr>
                <w:sz w:val="16"/>
              </w:rPr>
              <w:t>Implemented</w:t>
            </w:r>
          </w:p>
        </w:tc>
        <w:tc>
          <w:tcPr>
            <w:tcW w:w="6408" w:type="dxa"/>
            <w:vAlign w:val="center"/>
          </w:tcPr>
          <w:p w:rsidR="0054086C" w:rsidRDefault="00000000">
            <w:r>
              <w:rPr>
                <w:sz w:val="16"/>
              </w:rPr>
              <w:t>SAST-first; LLM path when GROQ_API_KEY or CWE_VULN_LLM_API_KEY is set.</w:t>
            </w:r>
          </w:p>
        </w:tc>
      </w:tr>
      <w:tr w:rsidR="0054086C">
        <w:trPr>
          <w:jc w:val="center"/>
        </w:trPr>
        <w:tc>
          <w:tcPr>
            <w:tcW w:w="2448" w:type="dxa"/>
            <w:shd w:val="clear" w:color="auto" w:fill="F4F6F8"/>
            <w:vAlign w:val="center"/>
          </w:tcPr>
          <w:p w:rsidR="0054086C" w:rsidRDefault="00000000">
            <w:r>
              <w:rPr>
                <w:sz w:val="16"/>
              </w:rPr>
              <w:t>Reasoning agent</w:t>
            </w:r>
          </w:p>
        </w:tc>
        <w:tc>
          <w:tcPr>
            <w:tcW w:w="1656" w:type="dxa"/>
            <w:vAlign w:val="center"/>
          </w:tcPr>
          <w:p w:rsidR="0054086C" w:rsidRDefault="00000000">
            <w:r>
              <w:rPr>
                <w:sz w:val="16"/>
              </w:rPr>
              <w:t>Implemented</w:t>
            </w:r>
          </w:p>
        </w:tc>
        <w:tc>
          <w:tcPr>
            <w:tcW w:w="6408" w:type="dxa"/>
            <w:vAlign w:val="center"/>
          </w:tcPr>
          <w:p w:rsidR="0054086C" w:rsidRDefault="00000000">
            <w:r>
              <w:rPr>
                <w:sz w:val="16"/>
              </w:rPr>
              <w:t>Template offline; LLMReasoner (default openai/gpt-oss-20b).</w:t>
            </w:r>
          </w:p>
        </w:tc>
      </w:tr>
      <w:tr w:rsidR="0054086C">
        <w:trPr>
          <w:jc w:val="center"/>
        </w:trPr>
        <w:tc>
          <w:tcPr>
            <w:tcW w:w="2448" w:type="dxa"/>
            <w:shd w:val="clear" w:color="auto" w:fill="F4F6F8"/>
            <w:vAlign w:val="center"/>
          </w:tcPr>
          <w:p w:rsidR="0054086C" w:rsidRDefault="00000000">
            <w:r>
              <w:rPr>
                <w:sz w:val="16"/>
              </w:rPr>
              <w:t>Validator agent</w:t>
            </w:r>
          </w:p>
        </w:tc>
        <w:tc>
          <w:tcPr>
            <w:tcW w:w="1656" w:type="dxa"/>
            <w:vAlign w:val="center"/>
          </w:tcPr>
          <w:p w:rsidR="0054086C" w:rsidRDefault="00000000">
            <w:r>
              <w:rPr>
                <w:sz w:val="16"/>
              </w:rPr>
              <w:t>Implemented</w:t>
            </w:r>
          </w:p>
        </w:tc>
        <w:tc>
          <w:tcPr>
            <w:tcW w:w="6408" w:type="dxa"/>
            <w:vAlign w:val="center"/>
          </w:tcPr>
          <w:p w:rsidR="0054086C" w:rsidRDefault="00000000">
            <w:r>
              <w:rPr>
                <w:sz w:val="16"/>
              </w:rPr>
              <w:t>Schema, CWE id, cited lines, decision vs evidence.</w:t>
            </w:r>
          </w:p>
        </w:tc>
      </w:tr>
      <w:tr w:rsidR="0054086C">
        <w:trPr>
          <w:jc w:val="center"/>
        </w:trPr>
        <w:tc>
          <w:tcPr>
            <w:tcW w:w="2448" w:type="dxa"/>
            <w:shd w:val="clear" w:color="auto" w:fill="F4F6F8"/>
            <w:vAlign w:val="center"/>
          </w:tcPr>
          <w:p w:rsidR="0054086C" w:rsidRDefault="00000000">
            <w:r>
              <w:rPr>
                <w:sz w:val="16"/>
              </w:rPr>
              <w:t>Layered packages</w:t>
            </w:r>
          </w:p>
        </w:tc>
        <w:tc>
          <w:tcPr>
            <w:tcW w:w="1656" w:type="dxa"/>
            <w:vAlign w:val="center"/>
          </w:tcPr>
          <w:p w:rsidR="0054086C" w:rsidRDefault="00000000">
            <w:r>
              <w:rPr>
                <w:sz w:val="16"/>
              </w:rPr>
              <w:t>Implemented</w:t>
            </w:r>
          </w:p>
        </w:tc>
        <w:tc>
          <w:tcPr>
            <w:tcW w:w="6408" w:type="dxa"/>
            <w:vAlign w:val="center"/>
          </w:tcPr>
          <w:p w:rsidR="0054086C" w:rsidRDefault="00000000">
            <w:r>
              <w:rPr>
                <w:sz w:val="16"/>
              </w:rPr>
              <w:t>models, dataset, knowledge, sast, retrieval, schema, reasoner, validator, orchestrator, framework, cli.</w:t>
            </w:r>
          </w:p>
        </w:tc>
      </w:tr>
      <w:tr w:rsidR="0054086C">
        <w:trPr>
          <w:jc w:val="center"/>
        </w:trPr>
        <w:tc>
          <w:tcPr>
            <w:tcW w:w="2448" w:type="dxa"/>
            <w:shd w:val="clear" w:color="auto" w:fill="F4F6F8"/>
            <w:vAlign w:val="center"/>
          </w:tcPr>
          <w:p w:rsidR="0054086C" w:rsidRDefault="00000000">
            <w:r>
              <w:rPr>
                <w:sz w:val="16"/>
              </w:rPr>
              <w:t>Reporting</w:t>
            </w:r>
          </w:p>
        </w:tc>
        <w:tc>
          <w:tcPr>
            <w:tcW w:w="1656" w:type="dxa"/>
            <w:vAlign w:val="center"/>
          </w:tcPr>
          <w:p w:rsidR="0054086C" w:rsidRDefault="00000000">
            <w:r>
              <w:rPr>
                <w:sz w:val="16"/>
              </w:rPr>
              <w:t>Implemented</w:t>
            </w:r>
          </w:p>
        </w:tc>
        <w:tc>
          <w:tcPr>
            <w:tcW w:w="6408" w:type="dxa"/>
            <w:vAlign w:val="center"/>
          </w:tcPr>
          <w:p w:rsidR="0054086C" w:rsidRDefault="00000000">
            <w:r>
              <w:rPr>
                <w:sz w:val="16"/>
              </w:rPr>
              <w:t>Assignment 4 JSON Schema + framework results JSON/MD.</w:t>
            </w:r>
          </w:p>
        </w:tc>
      </w:tr>
      <w:tr w:rsidR="0054086C">
        <w:trPr>
          <w:jc w:val="center"/>
        </w:trPr>
        <w:tc>
          <w:tcPr>
            <w:tcW w:w="2448" w:type="dxa"/>
            <w:shd w:val="clear" w:color="auto" w:fill="F4F6F8"/>
            <w:vAlign w:val="center"/>
          </w:tcPr>
          <w:p w:rsidR="0054086C" w:rsidRDefault="00000000">
            <w:r>
              <w:rPr>
                <w:sz w:val="16"/>
              </w:rPr>
              <w:t>Evaluation</w:t>
            </w:r>
          </w:p>
        </w:tc>
        <w:tc>
          <w:tcPr>
            <w:tcW w:w="1656" w:type="dxa"/>
            <w:vAlign w:val="center"/>
          </w:tcPr>
          <w:p w:rsidR="0054086C" w:rsidRDefault="00000000">
            <w:r>
              <w:rPr>
                <w:sz w:val="16"/>
              </w:rPr>
              <w:t>Authored corpus</w:t>
            </w:r>
          </w:p>
        </w:tc>
        <w:tc>
          <w:tcPr>
            <w:tcW w:w="6408" w:type="dxa"/>
            <w:vAlign w:val="center"/>
          </w:tcPr>
          <w:p w:rsidR="0054086C" w:rsidRDefault="00000000">
            <w:r>
              <w:rPr>
                <w:sz w:val="16"/>
              </w:rPr>
              <w:t>36 units / 24 held-out traps. No Juliet / OWASP Benchmark / Big-Vul numbers.</w:t>
            </w:r>
          </w:p>
        </w:tc>
      </w:tr>
    </w:tbl>
    <w:p w:rsidR="0054086C" w:rsidRDefault="00000000">
      <w:pPr>
        <w:pStyle w:val="Heading1"/>
      </w:pPr>
      <w:r>
        <w:t>12. Next Implementation Steps</w:t>
      </w:r>
    </w:p>
    <w:p w:rsidR="0054086C" w:rsidRDefault="00000000">
      <w:pPr>
        <w:pStyle w:val="ListBullet"/>
        <w:spacing w:after="30"/>
        <w:ind w:left="259" w:hanging="173"/>
      </w:pPr>
      <w:r>
        <w:t>Keep the original 12-unit Java seed as the assignment split; research scores use the 24-unit held-out authored traps.</w:t>
      </w:r>
    </w:p>
    <w:p w:rsidR="0054086C" w:rsidRDefault="00000000">
      <w:pPr>
        <w:pStyle w:val="ListBullet"/>
        <w:spacing w:after="30"/>
        <w:ind w:left="259" w:hanging="173"/>
      </w:pPr>
      <w:r>
        <w:t>Optional later: expand the curated CWE store without scraping an unofficial full dump.</w:t>
      </w:r>
    </w:p>
    <w:p w:rsidR="0054086C" w:rsidRDefault="00000000">
      <w:pPr>
        <w:pStyle w:val="ListBullet"/>
        <w:spacing w:after="30"/>
        <w:ind w:left="259" w:hanging="173"/>
      </w:pPr>
      <w:r>
        <w:t>MiniLM embeddings are implemented with TF-IDF fallback if the local model is missing.</w:t>
      </w:r>
    </w:p>
    <w:p w:rsidR="0054086C" w:rsidRDefault="00000000">
      <w:pPr>
        <w:pStyle w:val="ListBullet"/>
        <w:spacing w:after="30"/>
        <w:ind w:left="259" w:hanging="173"/>
      </w:pPr>
      <w:r>
        <w:t>Keep SAST as evidence extraction (CWE hints); knowledge layer owns descriptions.</w:t>
      </w:r>
    </w:p>
    <w:p w:rsidR="0054086C" w:rsidRDefault="00000000">
      <w:pPr>
        <w:pStyle w:val="ListBullet"/>
        <w:spacing w:after="30"/>
        <w:ind w:left="259" w:hanging="173"/>
      </w:pPr>
      <w:r>
        <w:t>Keep SAST-first LLM routing in the orchestrator (GROQ_API_KEY).</w:t>
      </w:r>
    </w:p>
    <w:p w:rsidR="0054086C" w:rsidRDefault="00000000">
      <w:pPr>
        <w:pStyle w:val="ListBullet"/>
        <w:spacing w:after="30"/>
        <w:ind w:left="259" w:hanging="173"/>
      </w:pPr>
      <w:r>
        <w:t>Live LLM reasoner is implemented; research trials used Groq openai/gpt-oss-20b.</w:t>
      </w:r>
    </w:p>
    <w:p w:rsidR="0054086C" w:rsidRDefault="00000000">
      <w:pPr>
        <w:pStyle w:val="ListBullet"/>
        <w:spacing w:after="30"/>
        <w:ind w:left="259" w:hanging="173"/>
      </w:pPr>
      <w:r>
        <w:t>Validator already checks schema, CWE id, cited lines, and decision vs evidence — it currently fails when the LLM correctly overrides SAST.</w:t>
      </w:r>
    </w:p>
    <w:p w:rsidR="0054086C" w:rsidRDefault="00000000">
      <w:pPr>
        <w:pStyle w:val="ListBullet"/>
        <w:spacing w:after="30"/>
        <w:ind w:left="259" w:hanging="173"/>
      </w:pPr>
      <w:r>
        <w:t>Optional later: richer confidence fusion beyond template confidence fields.</w:t>
      </w:r>
    </w:p>
    <w:p w:rsidR="0054086C" w:rsidRDefault="00000000">
      <w:pPr>
        <w:pStyle w:val="ListBullet"/>
        <w:spacing w:after="30"/>
        <w:ind w:left="259" w:hanging="173"/>
      </w:pPr>
      <w:r>
        <w:t>Public-benchmark experiments remain out of scope until a labeled external dataset is adopted.</w:t>
      </w:r>
    </w:p>
    <w:p w:rsidR="0054086C" w:rsidRDefault="00000000">
      <w:pPr>
        <w:pStyle w:val="Heading1"/>
      </w:pPr>
      <w:r>
        <w:t>13. Research Relevance</w:t>
      </w:r>
    </w:p>
    <w:p w:rsidR="0054086C" w:rsidRDefault="00000000">
      <w:pPr>
        <w:spacing w:after="80" w:line="259" w:lineRule="auto"/>
      </w:pPr>
      <w:r>
        <w:t>The research is centered on the combination of security analysis and LLM-based reasoning. Its key contribution direction is not simply using an LLM to detect vulnerabilities, but designing a cost-aware and evidence-grounded framework that decides when deeper reasoning is necessary and validates the resulting claims.</w:t>
      </w:r>
    </w:p>
    <w:p w:rsidR="0054086C" w:rsidRDefault="00000000">
      <w:pPr>
        <w:spacing w:after="80" w:line="259" w:lineRule="auto"/>
      </w:pPr>
      <w:r>
        <w:t>The use of SAST as context augmentation, hybrid CWE retrieval, specialized agents and explicit evidence validation provides a structured way to address both technical and practical concerns: detection quality, explainability, hallucination risk and inference cost.</w:t>
      </w:r>
    </w:p>
    <w:p w:rsidR="0054086C" w:rsidRDefault="00000000">
      <w:pPr>
        <w:pStyle w:val="Heading1"/>
      </w:pPr>
      <w:r>
        <w:t>14. Conclusion</w:t>
      </w:r>
    </w:p>
    <w:p w:rsidR="0054086C" w:rsidRDefault="00000000">
      <w:pPr>
        <w:spacing w:after="80" w:line="259" w:lineRule="auto"/>
      </w:pPr>
      <w:r>
        <w:t>The thesis has progressed from study of Explainable AI, RAG and agentic systems to a runnable seed-only pipeline for explainable CWE-oriented vulnerability detection. The implemented path combines a curated CWE knowledge store, MiniLM/TF-IDF hybrid retrieval, regex SAST evidence, a template reasoner, an LLM path gated on GROQ_API_KEY or CWE_VULN_LLM_API_KEY, validation, and cost-aware orchestrator routing.</w:t>
      </w:r>
    </w:p>
    <w:p w:rsidR="0054086C" w:rsidRDefault="00000000">
      <w:pPr>
        <w:spacing w:after="80" w:line="259" w:lineRule="auto"/>
      </w:pPr>
      <w:r>
        <w:t>Current work establishes the problem, layered architecture, MiniLM embeddings, an LLM reasoner, and a completed research evaluation on an authored expanded corpus (with limitations: small N, traps written against our regex). Public-benchmark evaluation remains future work and is not reported as done.</w:t>
      </w:r>
    </w:p>
    <w:tbl>
      <w:tblPr>
        <w:tblW w:w="0" w:type="auto"/>
        <w:jc w:val="center"/>
        <w:tblLook w:val="04A0" w:firstRow="1" w:lastRow="0" w:firstColumn="1" w:lastColumn="0" w:noHBand="0" w:noVBand="1"/>
      </w:tblPr>
      <w:tblGrid>
        <w:gridCol w:w="10310"/>
      </w:tblGrid>
      <w:tr w:rsidR="0054086C">
        <w:trPr>
          <w:jc w:val="center"/>
        </w:trPr>
        <w:tc>
          <w:tcPr>
            <w:tcW w:w="10310" w:type="dxa"/>
            <w:shd w:val="clear" w:color="auto" w:fill="EAF1F7"/>
          </w:tcPr>
          <w:p w:rsidR="0054086C" w:rsidRDefault="00000000">
            <w:pPr>
              <w:spacing w:after="0"/>
            </w:pPr>
            <w:r>
              <w:rPr>
                <w:b/>
                <w:color w:val="16324F"/>
              </w:rPr>
              <w:t>Progress summary: XAI → RAG → CWE knowledge → agentic AI → Java seed + SAST baseline → hybrid retrieval → schema → evidence → template reasoner → validator → orchestrator → framework CLI → layered packages → MiniLM embeddings + LLM reasoner → research evaluation on an authored expanded corpus. Live Groq used in trials. Public-benchmark evaluation remains later.</w:t>
            </w:r>
          </w:p>
        </w:tc>
      </w:tr>
    </w:tbl>
    <w:p w:rsidR="008F0AD9" w:rsidRDefault="008F0AD9"/>
    <w:sectPr w:rsidR="008F0AD9" w:rsidSect="00034616">
      <w:footerReference w:type="default" r:id="rId8"/>
      <w:pgSz w:w="12240" w:h="15840"/>
      <w:pgMar w:top="792" w:right="965" w:bottom="936" w:left="9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0AD9" w:rsidRDefault="008F0AD9">
      <w:pPr>
        <w:spacing w:after="0" w:line="240" w:lineRule="auto"/>
      </w:pPr>
      <w:r>
        <w:separator/>
      </w:r>
    </w:p>
  </w:endnote>
  <w:endnote w:type="continuationSeparator" w:id="0">
    <w:p w:rsidR="008F0AD9" w:rsidRDefault="008F0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086C" w:rsidRDefault="00000000">
    <w:pPr>
      <w:pStyle w:val="Footer"/>
      <w:jc w:val="center"/>
    </w:pPr>
    <w:r>
      <w:rPr>
        <w:color w:val="6B7280"/>
        <w:sz w:val="14"/>
      </w:rPr>
      <w:t xml:space="preserve">Thesis Progress </w:t>
    </w:r>
    <w:r w:rsidR="0098195E">
      <w:rPr>
        <w:color w:val="6B7280"/>
        <w:sz w:val="14"/>
      </w:rPr>
      <w:t>Report • RAG</w:t>
    </w:r>
    <w:r>
      <w:rPr>
        <w:color w:val="6B7280"/>
        <w:sz w:val="14"/>
      </w:rPr>
      <w:t>-Augmented Multi-Agent LLM Framework for Explainable Software Vulnerability Detection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0AD9" w:rsidRDefault="008F0AD9">
      <w:pPr>
        <w:spacing w:after="0" w:line="240" w:lineRule="auto"/>
      </w:pPr>
      <w:r>
        <w:separator/>
      </w:r>
    </w:p>
  </w:footnote>
  <w:footnote w:type="continuationSeparator" w:id="0">
    <w:p w:rsidR="008F0AD9" w:rsidRDefault="008F0A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0594292">
    <w:abstractNumId w:val="8"/>
  </w:num>
  <w:num w:numId="2" w16cid:durableId="1923639552">
    <w:abstractNumId w:val="6"/>
  </w:num>
  <w:num w:numId="3" w16cid:durableId="310602453">
    <w:abstractNumId w:val="5"/>
  </w:num>
  <w:num w:numId="4" w16cid:durableId="335496784">
    <w:abstractNumId w:val="4"/>
  </w:num>
  <w:num w:numId="5" w16cid:durableId="438111185">
    <w:abstractNumId w:val="7"/>
  </w:num>
  <w:num w:numId="6" w16cid:durableId="676856944">
    <w:abstractNumId w:val="3"/>
  </w:num>
  <w:num w:numId="7" w16cid:durableId="231891700">
    <w:abstractNumId w:val="2"/>
  </w:num>
  <w:num w:numId="8" w16cid:durableId="1755319119">
    <w:abstractNumId w:val="1"/>
  </w:num>
  <w:num w:numId="9" w16cid:durableId="1199977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2AB1"/>
    <w:rsid w:val="0054086C"/>
    <w:rsid w:val="00662381"/>
    <w:rsid w:val="008F0AD9"/>
    <w:rsid w:val="0098195E"/>
    <w:rsid w:val="009C5ADA"/>
    <w:rsid w:val="00AA1D8D"/>
    <w:rsid w:val="00AE5EDB"/>
    <w:rsid w:val="00B47730"/>
    <w:rsid w:val="00B77BAF"/>
    <w:rsid w:val="00CB0664"/>
    <w:rsid w:val="00DD0E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13B76"/>
  <w14:defaultImageDpi w14:val="300"/>
  <w15:docId w15:val="{D2D37294-26F8-A544-AF34-22C0EED87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6FA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2045</Words>
  <Characters>11658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Hariom Gupta</cp:lastModifiedBy>
  <cp:revision>2</cp:revision>
  <dcterms:created xsi:type="dcterms:W3CDTF">2026-09-10T15:01:00Z</dcterms:created>
  <dcterms:modified xsi:type="dcterms:W3CDTF">2026-09-10T15:01:00Z</dcterms:modified>
  <cp:category/>
</cp:coreProperties>
</file>