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The live path is regex SAST evidence, MiniLM/TF-IDF hybrid retrieval, Groq LLMReasoner, and a validator that checks schema/lines/KB rather than SAST agreement. Template/SAST are paper ablations.</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(PRs #1–#10), then MiniLM embeddings and a Groq LLM reasoner (embeddings-llm). Research evaluation is complete on an authored expanded Java corpus (36 units: original 12 plus 24 held-out FP/FN traps) — that table is not a public benchmark. Six named Java suites were measured: Juliet SAST n=20728 F1=0.316 / Groq sample n=72 F1=0.733; OWASP n=2740 F1=0.395 / Groq n=12 F1=0.286; Securibench n=119 F1=0.072 / Groq n=12 F1=0.500; find-sec-bugs n=79 F1=0.435 / Groq n=12 F1=0.364; Vul4J n=62 F1=0.244 / Groq n=12 F1=0.000; CVEfixes-Java-slice n=92 F1=0.207 / Groq n=12 F1=0.000. No HTTP 429. LLM samples are not full suites; regex is not CodeQL. Six suites do not prove 100% novelty. The system of record is live Groq openai/gpt-oss-20b. GROQ_API_KEY is required. No OpenAI account is required.</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MiniLM cosine + SAST + CWE relationships, RRF. TF-IDF fallback if MiniLM missing.</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SAST-as-evidence then Groq; GROQ_API_KEY required (CWE_VULN_LLM_API_KEY override).</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Groq LLMReasoner default; template ablation; validator (schema/lines/KB).</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Six suites measured</w:t>
            </w:r>
          </w:p>
        </w:tc>
        <w:tc>
          <w:tcPr>
            <w:tcW w:w="6336" w:type="dxa"/>
            <w:vAlign w:val="center"/>
          </w:tcPr>
          <w:p w:rsidR="0054086C" w:rsidRDefault="00000000">
            <w:r>
              <w:rPr>
                <w:sz w:val="16"/>
              </w:rPr>
              <w:t>Authored 36-unit corpus plus six public Java suites (Juliet n=20728 SAST; others in six-benchmark-results.md). Not 100% novelty.</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load_research_corpus 36, six suite adapters</w:t>
              <w:br/>
              <w:t xml:space="preserve">  knowledge/       CWEKnowledgeBase</w:t>
              <w:br/>
              <w:t xml:space="preserve">  sast/            regex detect + extract_evidence</w:t>
              <w:br/>
              <w:t xml:space="preserve">  retrieval/       MiniLM Embedder + TF-IDF fallback + SAST + RRF</w:t>
              <w:br/>
              <w:t xml:space="preserve">  schema/          JSON Schema validate helpers</w:t>
              <w:br/>
              <w:t xml:space="preserve">  reasoner/        TemplateReasoner + LLMReasoner</w:t>
              <w:br/>
              <w:t xml:space="preserve">  validator/       ResultValidator</w:t>
              <w:br/>
              <w:t xml:space="preserve">  orchestrator/    Pipeline.default requires Groq; Pipeline.offline ablation</w:t>
              <w:br/>
              <w:t xml:space="preserve">  framework/       cwe-vuln-pipeline + cwe-vuln-eval</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hybrid CWE retrieval (MiniLM cosine with TF-IDF fallback, SAST ids, CWE relationships, RRF), a cost-aware orchestrator, a Groq LLMReasoner that emits Assignment-4 schema JSON, an optional template reasoner for paper ablations, and a validator. GROQ_API_KEY (or CWE_VULN_LLM_API_KEY override) is required on the default path. No OpenAI account is required; OPENAI_API_KEY is unused. This is not claimed as SOTA or as the first RAG-CWE detector; the contribution is this specific composition on an authored trap split.</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MiniLM cosine when the local all-MiniLM-L6-v2 model is available, otherwise TF-IDF, plus SAST-matched CWE ids and one-hop CWE relationships, fused with Reciprocal Rank Fusion. If MiniLM cannot load, results record embedder=tfidf_fallback. Retrieval confidence is not a vulnerability decision.</w:t>
      </w:r>
    </w:p>
    <w:p w:rsidR="0054086C" w:rsidRDefault="00000000">
      <w:pPr>
        <w:spacing w:after="80" w:line="259" w:lineRule="auto"/>
      </w:pPr>
      <w:r>
        <w:t>The cost-aware orchestrator always extracts SAST evidence first, then Groq decides. Pipeline.default() requires GROQ_API_KEY or CWE_VULN_LLM_API_KEY; missing key fails clearly. Default paths are sast_then_llm / hybrid_retrieve_then_llm. TemplateReasoner is --offline / --ablation template only (F1=0 on research_test). Default model is Groq openai/gpt-oss-20b at https://api.groq.com/openai/v1. No OpenAI account is required; OPENAI_API_KEY is unused.</w:t>
      </w:r>
    </w:p>
    <w:p w:rsidR="0054086C" w:rsidRDefault="00000000">
      <w:pPr>
        <w:spacing w:after="80" w:line="259" w:lineRule="auto"/>
      </w:pPr>
      <w:r>
        <w:t>The validator checks schema validity, that the cited CWE exists in the knowledge store, that supporting source lines exist in the Java unit, and that the JSON is internally consistent. It does not require the decision to match SAST: empty SAST evidence with a vulnerable Groq decision is a sast_disagreement warning, not a failed unit. Framework metrics compare decisions to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live pipeline is implemented and runnable: uv sync &amp;&amp; uv run pytest &amp;&amp; uv run cwe-vuln-pipeline (requires GROQ_API_KEY). Assignment 1 detection on 12 units P=R=F1=1.000 (seed-only). Research evaluation on 24 held-out authored traps: SAST/template P=R=F1=0.000 (12 FP / 12 FN, ablation); live Groq then_llm P=0.857 R=1.000 F1=0.923, validator 24/24 (was 2/24 under the old SAST-iff-vulnerable rule). Retrieval on 48 authored queries: hybrid R@1=0.854 MRR=0.917 vs MiniLM 0.812 / 0.894 vs TF-IDF 0.646 / 0.794. Juliet Java v1.3 mapped subset (measured): SAST n=20728 P=0.300 R=0.334 F1=0.316; Groq stratified sample n=72 P=0.917 R=0.611 F1=0.733. Six-suite table: OWASP n=2740 F1=0.395; Securibench n=119 F1=0.072; find-sec-bugs n=79 F1=0.435; Vul4J n=62 F1=0.244; CVEfixes-Java-slice n=92 F1=0.207. LLM n=12 on those five (F1 0.286 / 0.500 / 0.364 / 0.000 / 0.000). No 429. NIST zip 403; GitHub mirror.</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MiniLM with TF-IDF fallback; seed-only metrics in results/.</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 evidence then Groq; missing GROQ_API_KEY fails clearly.</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LLMReasoner default (openai/gpt-oss-20b); TemplateReasoner is ablation.</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JSON consistency. SAST disagreement is a warning.</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Six suites measured</w:t>
            </w:r>
          </w:p>
        </w:tc>
        <w:tc>
          <w:tcPr>
            <w:tcW w:w="6408" w:type="dxa"/>
            <w:vAlign w:val="center"/>
          </w:tcPr>
          <w:p w:rsidR="0054086C" w:rsidRDefault="00000000">
            <w:r>
              <w:rPr>
                <w:sz w:val="16"/>
              </w:rPr>
              <w:t>Juliet SAST n=20728 F1=0.316 Groq n=72 F1=0.733; five more suites with exact n. Authored 36-unit table is separate.</w:t>
            </w:r>
          </w:p>
        </w:tc>
      </w:tr>
    </w:tbl>
    <w:p w:rsidR="0054086C" w:rsidRDefault="00000000">
      <w:pPr>
        <w:pStyle w:val="Heading1"/>
      </w:pPr>
      <w:r>
        <w:t>12. Next Implementation Steps</w:t>
      </w:r>
    </w:p>
    <w:p w:rsidR="0054086C" w:rsidRDefault="00000000">
      <w:pPr>
        <w:pStyle w:val="ListBullet"/>
        <w:spacing w:after="30"/>
        <w:ind w:left="259" w:hanging="173"/>
      </w:pPr>
      <w:r>
        <w:t>Keep the original 12-unit Java seed as the assignment split; research scores use the 24-unit held-out authored traps.</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MiniLM embeddings are implemented with TF-IDF fallback if the local model is missing.</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 as evidence extraction; Groq LLMReasoner is the default decision path (GROQ_API_KEY required).</w:t>
      </w:r>
    </w:p>
    <w:p w:rsidR="0054086C" w:rsidRDefault="00000000">
      <w:pPr>
        <w:pStyle w:val="ListBullet"/>
        <w:spacing w:after="30"/>
        <w:ind w:left="259" w:hanging="173"/>
      </w:pPr>
      <w:r>
        <w:t>Live LLM reasoner is the system of record; research trials used Groq openai/gpt-oss-20b (llama-3.1-8b-instant retired).</w:t>
      </w:r>
    </w:p>
    <w:p w:rsidR="0054086C" w:rsidRDefault="00000000">
      <w:pPr>
        <w:pStyle w:val="ListBullet"/>
        <w:spacing w:after="30"/>
        <w:ind w:left="259" w:hanging="173"/>
      </w:pPr>
      <w:r>
        <w:t>Validator checks schema, CWE id, cited lines, and JSON consistency. SAST disagreement is a warning, not a fail.</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Six public Java suites measured (Juliet SAST n=20728; others exact n in six-benchmark-results.md). LLM samples are not full suites. Authored 36-unit scores stay a separate table.</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live Groq pipeline for explainable CWE-oriented vulnerability detection. The implemented path combines a curated CWE knowledge store, MiniLM/TF-IDF hybrid retrieval, regex SAST evidence, Groq LLMReasoner (GROQ_API_KEY required; CWE_VULN_LLM_API_KEY override), validation that is not tied to SAST agreement, and cost-aware orchestrator routing.</w:t>
      </w:r>
    </w:p>
    <w:p w:rsidR="0054086C" w:rsidRDefault="00000000">
      <w:pPr>
        <w:spacing w:after="80" w:line="259" w:lineRule="auto"/>
      </w:pPr>
      <w:r>
        <w:t>Current work establishes the problem, layered architecture, MiniLM embeddings, an LLM reasoner, authored-corpus research evaluation, Juliet Java v1.3 mapped subset, and five additional public Java suites (OWASP Benchmark, Securibench Micro, find-sec-bugs, Vul4J, CVEfixes-Java-slice). Do not mix the 36-unit authored table with the six-suite table.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retrieval → schema → evidence → template reasoner → validator → orchestrator → framework CLI → layered packages → MiniLM embeddings + LLM reasoner → research evaluation on an authored expanded corpus → live Groq default with validator uncoupled from SAST → Juliet Java v1.3 mapped-subset eval (SAST n=20728, Groq sample n=72) → six public Java suites (OWASP, Securibench, find-sec-bugs, Vul4J, CVEfixes-Java-slice).</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