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318520A3" w:rsidR="00D83FA2" w:rsidRDefault="00D83FA2" w:rsidP="00D83FA2">
      <w:r>
        <w:t xml:space="preserve">Time </w:t>
      </w:r>
      <w:r w:rsidR="00183411">
        <w:t xml:space="preserve">½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23E9BDE2" w14:textId="140BA94A" w:rsidR="00D21E25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21E25">
        <w:rPr>
          <w:noProof/>
        </w:rPr>
        <w:t>0.1</w:t>
      </w:r>
      <w:r w:rsidR="00D21E25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21E25">
        <w:rPr>
          <w:noProof/>
        </w:rPr>
        <w:t>Prerequisites</w:t>
      </w:r>
      <w:r w:rsidR="00D21E25">
        <w:rPr>
          <w:noProof/>
        </w:rPr>
        <w:tab/>
      </w:r>
      <w:r w:rsidR="00D21E25">
        <w:rPr>
          <w:noProof/>
        </w:rPr>
        <w:fldChar w:fldCharType="begin"/>
      </w:r>
      <w:r w:rsidR="00D21E25">
        <w:rPr>
          <w:noProof/>
        </w:rPr>
        <w:instrText xml:space="preserve"> PAGEREF _Toc516218190 \h </w:instrText>
      </w:r>
      <w:r w:rsidR="00D21E25">
        <w:rPr>
          <w:noProof/>
        </w:rPr>
      </w:r>
      <w:r w:rsidR="00D21E25">
        <w:rPr>
          <w:noProof/>
        </w:rPr>
        <w:fldChar w:fldCharType="separate"/>
      </w:r>
      <w:r w:rsidR="00CC62F4">
        <w:rPr>
          <w:noProof/>
        </w:rPr>
        <w:t>1</w:t>
      </w:r>
      <w:r w:rsidR="00D21E25">
        <w:rPr>
          <w:noProof/>
        </w:rPr>
        <w:fldChar w:fldCharType="end"/>
      </w:r>
    </w:p>
    <w:p w14:paraId="59265088" w14:textId="697CBB8B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AD39B0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_Toc516218191 \h </w:instrText>
      </w:r>
      <w:r>
        <w:rPr>
          <w:noProof/>
        </w:rPr>
      </w:r>
      <w:r>
        <w:rPr>
          <w:noProof/>
        </w:rPr>
        <w:fldChar w:fldCharType="separate"/>
      </w:r>
      <w:r w:rsidR="00CC62F4">
        <w:rPr>
          <w:noProof/>
        </w:rPr>
        <w:t>1</w:t>
      </w:r>
      <w:r>
        <w:rPr>
          <w:noProof/>
        </w:rPr>
        <w:fldChar w:fldCharType="end"/>
      </w:r>
    </w:p>
    <w:p w14:paraId="2DEC4B8C" w14:textId="6513734F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_Toc516218192 \h </w:instrText>
      </w:r>
      <w:r>
        <w:rPr>
          <w:noProof/>
        </w:rPr>
      </w:r>
      <w:r>
        <w:rPr>
          <w:noProof/>
        </w:rPr>
        <w:fldChar w:fldCharType="separate"/>
      </w:r>
      <w:r w:rsidR="00CC62F4">
        <w:rPr>
          <w:noProof/>
        </w:rPr>
        <w:t>2</w:t>
      </w:r>
      <w:r>
        <w:rPr>
          <w:noProof/>
        </w:rPr>
        <w:fldChar w:fldCharType="end"/>
      </w:r>
    </w:p>
    <w:p w14:paraId="7090E0D3" w14:textId="0EE936D8" w:rsidR="00D83FA2" w:rsidRDefault="00D83FA2" w:rsidP="00D83FA2">
      <w:pPr>
        <w:pStyle w:val="Heading1"/>
      </w:pPr>
      <w:r>
        <w:fldChar w:fldCharType="end"/>
      </w:r>
      <w:bookmarkStart w:id="0" w:name="_Toc516218190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516218191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D83FA2">
      <w:pPr>
        <w:pStyle w:val="ListParagraph"/>
        <w:numPr>
          <w:ilvl w:val="0"/>
          <w:numId w:val="48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516218192"/>
      <w:r>
        <w:lastRenderedPageBreak/>
        <w:t>Agenda</w:t>
      </w:r>
      <w:bookmarkEnd w:id="2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1A1544CE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9:00</w:t>
            </w:r>
          </w:p>
        </w:tc>
        <w:tc>
          <w:tcPr>
            <w:tcW w:w="885" w:type="dxa"/>
          </w:tcPr>
          <w:p w14:paraId="23F6C86E" w14:textId="73184B06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1C8E5E6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835900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4EE1083D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054677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:45</w:t>
            </w:r>
          </w:p>
        </w:tc>
        <w:tc>
          <w:tcPr>
            <w:tcW w:w="885" w:type="dxa"/>
          </w:tcPr>
          <w:p w14:paraId="28DFEDE6" w14:textId="4B0FE3C4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48C9C8B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11:45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12:15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4B9654D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12:15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2930CC2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8A8D416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108C065A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connecting, and exchanging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33116B53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  <w:r w:rsidR="00D83FA2">
              <w:rPr>
                <w:sz w:val="16"/>
              </w:rPr>
              <w:t xml:space="preserve"> – </w:t>
            </w:r>
            <w:r w:rsidR="00A90412"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6249D960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7AAF3B59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1BD8484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5:</w:t>
            </w:r>
            <w:r w:rsidR="00221BB2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2DEFA1C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221BB2">
              <w:rPr>
                <w:sz w:val="16"/>
              </w:rPr>
              <w:t>45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022046EB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B53710">
              <w:rPr>
                <w:sz w:val="16"/>
              </w:rPr>
              <w:t>s Part 1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1EA63AB8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A90412" w14:paraId="35662DE3" w14:textId="77777777" w:rsidTr="00A90412">
        <w:tc>
          <w:tcPr>
            <w:tcW w:w="555" w:type="dxa"/>
            <w:tcBorders>
              <w:top w:val="single" w:sz="24" w:space="0" w:color="auto"/>
              <w:bottom w:val="single" w:sz="4" w:space="0" w:color="auto"/>
            </w:tcBorders>
          </w:tcPr>
          <w:p w14:paraId="55B2E391" w14:textId="2BFB3AD4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4" w:space="0" w:color="auto"/>
            </w:tcBorders>
          </w:tcPr>
          <w:p w14:paraId="4AD11495" w14:textId="0E4F051C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1</w:t>
            </w:r>
            <w:r w:rsidR="00F7657B">
              <w:rPr>
                <w:sz w:val="16"/>
              </w:rPr>
              <w:t>0</w:t>
            </w:r>
            <w:r>
              <w:rPr>
                <w:sz w:val="16"/>
              </w:rPr>
              <w:t>:</w:t>
            </w:r>
            <w:r w:rsidR="00F7657B"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24" w:space="0" w:color="auto"/>
              <w:bottom w:val="single" w:sz="4" w:space="0" w:color="auto"/>
            </w:tcBorders>
          </w:tcPr>
          <w:p w14:paraId="520F68FA" w14:textId="1B743521" w:rsidR="00A90412" w:rsidRDefault="00F7657B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</w:t>
            </w:r>
            <w:r w:rsidR="00A9041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  <w:bottom w:val="single" w:sz="4" w:space="0" w:color="auto"/>
            </w:tcBorders>
          </w:tcPr>
          <w:p w14:paraId="343B1849" w14:textId="5AC8F9FB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04B More Advanced BLE Peripherals – Continued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</w:tcPr>
          <w:p w14:paraId="5A1F7DB6" w14:textId="3C0CF2AE" w:rsidR="00A90412" w:rsidRDefault="00B53710" w:rsidP="00A90412">
            <w:pPr>
              <w:rPr>
                <w:sz w:val="16"/>
              </w:rPr>
            </w:pPr>
            <w:r>
              <w:rPr>
                <w:sz w:val="16"/>
              </w:rPr>
              <w:t>Labs Part 2</w:t>
            </w:r>
          </w:p>
        </w:tc>
        <w:tc>
          <w:tcPr>
            <w:tcW w:w="4139" w:type="dxa"/>
            <w:tcBorders>
              <w:top w:val="single" w:sz="24" w:space="0" w:color="auto"/>
              <w:bottom w:val="single" w:sz="4" w:space="0" w:color="auto"/>
            </w:tcBorders>
          </w:tcPr>
          <w:p w14:paraId="05269D1E" w14:textId="72DCC4BC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A90412" w14:paraId="7CDD7E9F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3D5E57BF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248848FE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21B8B30D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6B130F01" w14:textId="6D7B022E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04C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2CA640FF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37CADF18" w14:textId="38CABA97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protocol.</w:t>
            </w:r>
          </w:p>
        </w:tc>
      </w:tr>
      <w:tr w:rsidR="00F87D63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212E994C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11:00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F87D63" w:rsidRPr="006B1446" w:rsidRDefault="00F87D63" w:rsidP="00F57A9D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F87D63" w:rsidRPr="006B1446" w:rsidRDefault="0089112E" w:rsidP="00F57A9D">
            <w:pPr>
              <w:rPr>
                <w:sz w:val="16"/>
              </w:rPr>
            </w:pPr>
            <w:r>
              <w:rPr>
                <w:sz w:val="16"/>
              </w:rPr>
              <w:t>05</w:t>
            </w:r>
            <w:r w:rsidR="00F87D63">
              <w:rPr>
                <w:sz w:val="16"/>
              </w:rPr>
              <w:t xml:space="preserve">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F87D63" w:rsidRPr="006B1446" w:rsidRDefault="00F87D63" w:rsidP="00F57A9D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77777777" w:rsidR="00F87D63" w:rsidRPr="006B1446" w:rsidRDefault="00F87D63" w:rsidP="00F57A9D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F87D63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F87D63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430C2448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12:30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476406E5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F87D63" w:rsidRDefault="00F87D63" w:rsidP="00F57A9D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F87D63" w:rsidRPr="006B1446" w:rsidRDefault="00F87D63" w:rsidP="00F57A9D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F87D63" w:rsidRPr="006B1446" w:rsidRDefault="00F87D63" w:rsidP="00F57A9D">
            <w:pPr>
              <w:rPr>
                <w:sz w:val="16"/>
              </w:rPr>
            </w:pPr>
          </w:p>
        </w:tc>
      </w:tr>
      <w:tr w:rsidR="00A90412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22798D20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F87D6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E6338C"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  <w:r w:rsidR="00F87D63">
              <w:rPr>
                <w:sz w:val="16"/>
              </w:rPr>
              <w:t xml:space="preserve"> – 1</w:t>
            </w:r>
            <w:r>
              <w:rPr>
                <w:sz w:val="16"/>
              </w:rPr>
              <w:t>:</w:t>
            </w:r>
            <w:r w:rsidR="00B53710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2407FE4A" w:rsidR="00A90412" w:rsidRPr="006B1446" w:rsidRDefault="00A90412" w:rsidP="00A90412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A90412" w:rsidRPr="006B1446" w:rsidRDefault="0089112E" w:rsidP="00A90412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</w:t>
            </w:r>
            <w:r w:rsidR="00A90412">
              <w:rPr>
                <w:sz w:val="16"/>
              </w:rPr>
              <w:t>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A90412" w14:paraId="6C64D5E4" w14:textId="77777777" w:rsidTr="00E1749B">
        <w:tc>
          <w:tcPr>
            <w:tcW w:w="555" w:type="dxa"/>
          </w:tcPr>
          <w:p w14:paraId="528EB29E" w14:textId="17C5E8C2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24B52C96" w:rsidR="00A90412" w:rsidDel="009468F7" w:rsidRDefault="00B53710" w:rsidP="00E6338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15 – 3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A90412">
              <w:rPr>
                <w:sz w:val="16"/>
              </w:rPr>
              <w:t>5</w:t>
            </w:r>
          </w:p>
        </w:tc>
        <w:tc>
          <w:tcPr>
            <w:tcW w:w="885" w:type="dxa"/>
          </w:tcPr>
          <w:p w14:paraId="5F512661" w14:textId="3A537433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A90412" w:rsidRPr="006B1446" w:rsidRDefault="00A90412" w:rsidP="00A90412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A90412" w:rsidRPr="006B1446" w:rsidRDefault="00A90412" w:rsidP="00A90412">
            <w:pPr>
              <w:rPr>
                <w:sz w:val="16"/>
              </w:rPr>
            </w:pPr>
          </w:p>
        </w:tc>
      </w:tr>
      <w:tr w:rsidR="00A90412" w14:paraId="1E248296" w14:textId="77777777" w:rsidTr="00E1749B">
        <w:tc>
          <w:tcPr>
            <w:tcW w:w="555" w:type="dxa"/>
          </w:tcPr>
          <w:p w14:paraId="0621D10C" w14:textId="1E7F203D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0EE0974C" w:rsidR="00A90412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3:1</w:t>
            </w:r>
            <w:r w:rsidR="00B25975">
              <w:rPr>
                <w:sz w:val="16"/>
              </w:rPr>
              <w:t>5 –</w:t>
            </w:r>
            <w:r>
              <w:rPr>
                <w:sz w:val="16"/>
              </w:rPr>
              <w:t xml:space="preserve"> 4</w:t>
            </w:r>
            <w:r w:rsidR="00B25975">
              <w:rPr>
                <w:sz w:val="16"/>
              </w:rPr>
              <w:t>:</w:t>
            </w:r>
            <w:r>
              <w:rPr>
                <w:sz w:val="16"/>
              </w:rPr>
              <w:t>0</w:t>
            </w:r>
            <w:r w:rsidR="00B25975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4ACF3A50" w14:textId="6463E4BB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25975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0AFCF5A5" w14:textId="0DB2A55A" w:rsidR="00A90412" w:rsidRPr="006B1446" w:rsidRDefault="0089112E" w:rsidP="00A90412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</w:t>
            </w:r>
            <w:r w:rsidR="00A90412">
              <w:rPr>
                <w:sz w:val="16"/>
              </w:rPr>
              <w:t xml:space="preserve">B </w:t>
            </w:r>
            <w:r w:rsidR="00E10B83">
              <w:rPr>
                <w:sz w:val="16"/>
              </w:rPr>
              <w:t>More Classic Bluetooth</w:t>
            </w:r>
            <w:bookmarkStart w:id="3" w:name="_GoBack"/>
            <w:bookmarkEnd w:id="3"/>
          </w:p>
        </w:tc>
        <w:tc>
          <w:tcPr>
            <w:tcW w:w="943" w:type="dxa"/>
          </w:tcPr>
          <w:p w14:paraId="2568619B" w14:textId="1EA0813B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A90412" w14:paraId="367109A5" w14:textId="77777777" w:rsidTr="00E1749B">
        <w:tc>
          <w:tcPr>
            <w:tcW w:w="555" w:type="dxa"/>
          </w:tcPr>
          <w:p w14:paraId="3B427257" w14:textId="0E047BC3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1B924CE6" w:rsidR="00A90412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 – 5:00</w:t>
            </w:r>
          </w:p>
        </w:tc>
        <w:tc>
          <w:tcPr>
            <w:tcW w:w="885" w:type="dxa"/>
          </w:tcPr>
          <w:p w14:paraId="6E4DA2EE" w14:textId="7A99D369" w:rsidR="00A90412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2281" w:type="dxa"/>
            <w:vMerge/>
          </w:tcPr>
          <w:p w14:paraId="33706BCA" w14:textId="77777777" w:rsidR="00A90412" w:rsidRDefault="00A90412" w:rsidP="00A90412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A90412" w:rsidRPr="006B1446" w:rsidRDefault="00A90412" w:rsidP="00A90412">
            <w:pPr>
              <w:rPr>
                <w:sz w:val="16"/>
              </w:rPr>
            </w:pPr>
          </w:p>
        </w:tc>
      </w:tr>
      <w:tr w:rsidR="00A90412" w14:paraId="6B4A574C" w14:textId="77777777" w:rsidTr="00E1749B">
        <w:tc>
          <w:tcPr>
            <w:tcW w:w="555" w:type="dxa"/>
          </w:tcPr>
          <w:p w14:paraId="2EAE6056" w14:textId="1E03F406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2B288B3" w14:textId="6FFC7B4F" w:rsidR="00A90412" w:rsidRDefault="00B53710" w:rsidP="00B537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633237A" w14:textId="7650811C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32E4E141" w14:textId="08FB96A2" w:rsidR="00A90412" w:rsidRDefault="0089112E" w:rsidP="00A90412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</w:t>
            </w:r>
            <w:r w:rsidR="00A90412">
              <w:rPr>
                <w:sz w:val="16"/>
              </w:rPr>
              <w:t>C Classic Bluetooth Protocol Details</w:t>
            </w:r>
          </w:p>
        </w:tc>
        <w:tc>
          <w:tcPr>
            <w:tcW w:w="943" w:type="dxa"/>
          </w:tcPr>
          <w:p w14:paraId="11A23D9A" w14:textId="6A2CAA89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1821FF42" w14:textId="77777777" w:rsidR="00A90412" w:rsidRPr="006B1446" w:rsidRDefault="00A90412" w:rsidP="00A90412">
            <w:pPr>
              <w:rPr>
                <w:sz w:val="16"/>
              </w:rPr>
            </w:pPr>
          </w:p>
        </w:tc>
      </w:tr>
      <w:tr w:rsidR="00A90412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F986938" w:rsidR="00A90412" w:rsidRPr="006B1446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0F9D11EE" w:rsidR="00A90412" w:rsidRPr="006B1446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  <w:r w:rsidR="00B53710">
              <w:rPr>
                <w:sz w:val="16"/>
              </w:rPr>
              <w:t xml:space="preserve">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A90412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 xml:space="preserve">07 </w:t>
            </w:r>
            <w:r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1618C" w14:textId="77777777" w:rsidR="00DB6C3D" w:rsidRDefault="00DB6C3D" w:rsidP="00DF6D18">
      <w:r>
        <w:separator/>
      </w:r>
    </w:p>
  </w:endnote>
  <w:endnote w:type="continuationSeparator" w:id="0">
    <w:p w14:paraId="0681259F" w14:textId="77777777" w:rsidR="00DB6C3D" w:rsidRDefault="00DB6C3D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1E6383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1F7F4" w14:textId="77777777" w:rsidR="00DB6C3D" w:rsidRDefault="00DB6C3D" w:rsidP="00DF6D18">
      <w:r>
        <w:separator/>
      </w:r>
    </w:p>
  </w:footnote>
  <w:footnote w:type="continuationSeparator" w:id="0">
    <w:p w14:paraId="5EBAA2C2" w14:textId="77777777" w:rsidR="00DB6C3D" w:rsidRDefault="00DB6C3D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383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0B83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12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911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9112E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7E560C-14C8-472B-9187-104CB713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46</cp:revision>
  <cp:lastPrinted>2018-06-10T20:33:00Z</cp:lastPrinted>
  <dcterms:created xsi:type="dcterms:W3CDTF">2018-04-02T21:09:00Z</dcterms:created>
  <dcterms:modified xsi:type="dcterms:W3CDTF">2018-06-18T22:57:00Z</dcterms:modified>
</cp:coreProperties>
</file>