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AADX</w:t>
      </w:r>
      <w:r>
        <w:rPr>
          <w:rFonts w:ascii="Calibri" w:hAnsi="Calibri"/>
          <w:b/>
          <w:color w:val="1A2010"/>
          <w:sz w:val="40"/>
        </w:rPr>
        <w:t xml:space="preserve">  Applied Aerospace &amp; Defense, Inc.</w:t>
      </w:r>
    </w:p>
    <w:p>
      <w:pPr>
        <w:spacing w:after="120"/>
      </w:pPr>
      <w:r>
        <w:rPr>
          <w:rFonts w:ascii="Calibri" w:hAnsi="Calibri"/>
          <w:b/>
          <w:color w:val="6E8450"/>
          <w:sz w:val="18"/>
        </w:rPr>
        <w:t>GROWTH SLEEVE · 2026-08-18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Applied Aerospace &amp; Defense, Inc. designs, engineers, and manufactures integrated aerospace and defense subsystems for space and defense applications. Products include propellant tanks, engine nozzles, satellite assemblies, wings and control surfaces, radar and communications antennas, missile bodies, directed energy systems, and Spinnaker de-orbit systems. Headquartered in Huntsville, Alabama, the company IPO'd in June 2026 at $20/share, raising $650M. Q2 2026 record revenue of $167.3M (+47.4% YoY), with FY2026 guidance of $670-690M and backlog exceeding $1.1B. Chris Rogers was elevated to President and CSO in August 2026.</w:t>
      </w:r>
    </w:p>
    <w:p>
      <w:r>
        <w:rPr>
          <w:rFonts w:ascii="Calibri" w:hAnsi="Calibri"/>
          <w:b/>
          <w:color w:val="6E8450"/>
          <w:sz w:val="18"/>
        </w:rPr>
        <w:t>1,542 Employees · https://applied-ad.com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Applied Aerospace was assembled through acquisitions (formerly GB Eagle Topco, incorporated 2022) to create an integrated aerospace subsystems platform, growing from $400M (2024) to $604M (2025) revenue, with Q2 2026 hitting a record $167.3M [1]. The company developed the proprietary Spinnaker de-orbit system for satellite end-of-life compliance — a novel product addressing growing space debris regulations. CEO Ferguson's 'iPhone model' for defense — technology refreshing every 3-5 years versus multi-decade programs — represents a genuinely innovative strategic framework [2]. AI Deployment (0/2): No evidence of AI-powered products or services shipping to customers. The company is a precision manufacturer of aerospace hardware using composite, metallic, and polymer processes with no disclosed AI-driven cost savings or revenue generation. Market Share (2/2): AADX is a critical subsystems supplier for major defense primes and space launch providers, with $1.1B+ contract backlog as of Q2 2026 [1]. The company provides mission-critical components (propellant tanks, satellite assemblies, missile bodies) where switching costs are extremely high due to qualification requirements and flight heritage. Space &amp; Launch Systems revenue surged 58.5% to $38.8M in Q2. Product Pipeline (2/2): $1.1B+ backlog provides approximately 6-7 quarters of revenue visibility at current run rates [1]. FY2026 guidance of $670-690M backed by strong order capture across space proliferation, hypersonics, and directed energy programs. CEO Ferguson identified 'generational demand across space and defense' as a multi-year tailwind [2]. R&amp;D Intensity (0/1): The company's competitive advantage is in precision manufacturing and integration rather than R&amp;D spending. IP-enabled processes are core, but formal R&amp;D intensity is not a differentiator.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AADX positions itself as a manufacturer of critical aerospace and defense subsystems without a distinctive mission beyond operational execution [2]. The company's stated focus is on 'customer first' culture and manufacturing excellence, which is generic and interchangeable with any defense subcontractor. No transformative purpose or vision of a better future is articulated beyond commercial growth. Community Impact (0/2): No evidence of charitable programs, foundation activity, or measurable community investment. As a recently IPO'd defense manufacturer, no ESG reporting or community programs were identified [4]. Employee Retention (1/2): The company emphasizes maintaining its 'unique culture' and being a 'great place to work' for team members. Former CEO Kevin Bidlack was described as genuinely caring and approachable [2]. The combined 231 years of industry experience across leadership and the elevation of Chris Rogers to President in August 2026 suggests stable, experienced senior management. However, specific retention data is unavailable. Insider Buying (1/2): The company is majority-owned by AA&amp;D Holdings LP (private equity). PE ownership structure suggests alignment through equity stakes rather than open-market buying. No specific insider purchase data found post-IPO.</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The IPO raised $650M, dramatically improving the balance sheet — D/E fell from ~445% pre-IPO to 52%, now below the 70% target and scoring 1.0 [3][4]. Revenue growth of 47.4% YoY in Q2 2026 (+21.3% pro forma after CBI acquisition) comfortably exceeds the 10% target [1]. However, the company remains deeply unprofitable on a GAAP basis — profit margin of -30.24% (scoring 0) is driven by $110M in IPO-related accelerated SBC vesting in Q2, which massively distorts the reported figures [1]. ROE is negative and scores 0. Forward P/E of 42.67 is elevated, scoring only 0.43 against the 20 target [3]. Revenue growth 5yr CAGR and Forward PEG are unavailable and excluded. Weighted calculation on available metrics: D/E 1.0(1x) + ROE 0.0(2x) + RevYoY 1.0(1x) + FwdPE 0.43(1x) + PM 0.0(1x) = 2.43/6.0 = 4. On an adjusted basis, the business generates $150-155M in EBITDA guidance on $670-690M revenue (~22% margin), but GAAP metrics govern the score. Liquidity floor cleared: avg volume 1.07M x $17.71 = $19.0M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Applied Aerospace is too young and PE-backed to demonstrate deep infinite-game characteristics. The company was assembled through acquisitions starting in 2022 and IPO'd in June 2026. CEO Ferguson's vision of 'generational demand' and the 'iPhone model' for defense shows strategic thinking, and the elevation of Chris Rogers to President signals organizational maturation. However, the company has not been tested through market cycles or strategic crises, and the private equity ownership structure inherently prioritizes exit returns over infinite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AADX's purpose is manufacturing critical defense and space subsystems with a 'customer first' culture [2]. This connects to national security outcomes but is articulated as operational execution rather than a transformative vision. The company exists to serve defense primes' manufacturing needs — a necessary function but not a purpose that inspires sacrifice or endures beyond the current defense spending cycle. No distinctive Just Cause beyond commercial success is evident.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emphasizes maintaining its 'unique culture' and being a 'great place to work,' with former CEO Bidlack described as genuinely caring and approachable [2]. The leadership team has 231 combined years of industry experience, and the recent elevation of Chris Rogers suggests a trust-based leadership development pipeline. However, the company's rapid growth through acquisitions and the IPO transition create integration risks, and no specific employee retention data or cultural surveys are available to validate the culture claims.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AADX competes with defense primes' internal manufacturing operations and other subsystem suppliers. The company's competitive positioning focuses on winning contract awards and growing backlog rather than learning from competitors' strengths [1]. The defense procurement framework is inherently competitive (win/lose contract awards) rather than collaborative.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AADX was incorporated in 2022 and has never faced a strategic inflection point requiring business model transformation [4]. The company was assembled through PE-backed acquisitions to exploit current defense spending trends. It is too young to have demonstrated existential flexibility — no pivots, no reinventions, no evidence of adapting to fundamentally changed conditions.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IPO at a $3.5B valuation while still operating at a GAAP loss demonstrates conviction in the long-term growth story [1]. CEO Ferguson's articulation of the 'iPhone model' for defense challenges the traditional multi-decade program model [2]. The elevation of Chris Rogers to President and CSO in August 2026 shows willingness to invest in leadership infrastructure for the next growth phase. However, these are standard strategic moves for a PE-backed company executing its playbook, not courageous sacrifices of near-term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Applied Aerospace &amp; Defense is a pure-play defense subsystems manufacturer riding a generational demand cycle in space proliferation, hypersonics, and directed energy weapons. Q2 2026 delivered record revenue of $167.3M (+47.4% YoY), with adjusted EBITDA of $36.4M (+38.4%) and backlog exceeding $1.1B providing 6-7 quarters of visibility [1]. FY2026 guidance of $670-690M revenue and $150-155M adjusted EBITDA implies ~22% margins on an adjusted basis. CEO Ferguson's 'iPhone model' thesis — that defense technology is shifting from multi-decade programs to rapid refresh cycles — creates structural demand growth for AADX's mission-critical subsystems [2]. The IPO dramatically improved the balance sheet, with D/E falling from ~445% to 52%, and the elevation of Chris Rogers to President signals organizational maturation for the next growth phase. Physical manufacturing of flight-rated hardware with defense security clearances is maximally immune to AI disruption, while AI-driven satellite and autonomous combat demand creates a secular tailwind.</w:t>
      </w:r>
    </w:p>
    <w:p>
      <w:pPr>
        <w:spacing w:after="120"/>
      </w:pPr>
      <w:r>
        <w:rPr>
          <w:rFonts w:ascii="Calibri" w:hAnsi="Calibri"/>
          <w:b w:val="0"/>
          <w:color w:val="3A4A28"/>
          <w:sz w:val="20"/>
        </w:rPr>
        <w:t>The bear case centers on GAAP profitability, valuation, and execution risk. The company reported a $154M GAAP net loss in Q2 2026, driven by $110M in IPO-related accelerated SBC vesting, producing a -30.24% profit margin that masks the underlying adjusted profitability [1][3]. Forward P/E of 42.67 is expensive for a company that has not yet delivered positive GAAP earnings, pricing in substantial margin expansion and revenue growth [3]. The stock has declined 11.5% from its $20 IPO price to $17.71, suggesting early investor skepticism. Free cash flow of -$129M reflects the capital-intensive nature of aerospace manufacturing and working capital absorption from rapid growth [3]. The PE-backed rollup strategy carries integration risk across multiple acquired businesses (including the recent CBI acquisition), and private equity sponsors will eventually seek exits that could create selling pressure. Defense spending is politically subject to budget debates and administration priorities, and any shift away from space/hypersonics could compress the backlog pipeline. The Inspire MIXED label provides no differentiation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contract backlog exceeding $1.1B providing 6-7 quarters of revenue visibility, with strong order capture across space, defense aviation, and C5ISR programs validating the 'generational demand' thesis [1]</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inflection expected as the $110M IPO-related SBC charge is non-recurring — normalized GAAP earnings could emerge in FY2027, potentially re-rating the stock from a loss-making IPO to a profitable defense growth company [1]</w:t>
      </w:r>
    </w:p>
    <w:p>
      <w:pPr>
        <w:spacing w:before="40" w:after="40"/>
        <w:ind w:left="283"/>
      </w:pPr>
      <w:r>
        <w:rPr>
          <w:rFonts w:ascii="Calibri" w:hAnsi="Calibri"/>
          <w:b/>
          <w:color w:val="4A6B25"/>
          <w:sz w:val="20"/>
        </w:rPr>
        <w:t xml:space="preserve">3. </w:t>
      </w:r>
      <w:r>
        <w:rPr>
          <w:rFonts w:ascii="Calibri" w:hAnsi="Calibri"/>
          <w:b w:val="0"/>
          <w:color w:val="3A4A28"/>
          <w:sz w:val="20"/>
        </w:rPr>
        <w:t>Chris Rogers elevation to President and CSO in August 2026 signals strategic maturation and positions the company for organic growth acceleration alongside the acquisition-driven playbook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losses persist — $154M net loss in Q2 2026 and -30.24% profit margin (driven by $110M SBC but also reflecting $129M negative free cash flow from capital-intensive operations) demonstrate the business has not yet achieved sustainable bottom-line profitability [1][3]</w:t>
      </w:r>
    </w:p>
    <w:p>
      <w:pPr>
        <w:spacing w:before="40" w:after="40"/>
        <w:ind w:left="283"/>
      </w:pPr>
      <w:r>
        <w:rPr>
          <w:rFonts w:ascii="Calibri" w:hAnsi="Calibri"/>
          <w:b/>
          <w:color w:val="4A6B25"/>
          <w:sz w:val="20"/>
        </w:rPr>
        <w:t xml:space="preserve">2. </w:t>
      </w:r>
      <w:r>
        <w:rPr>
          <w:rFonts w:ascii="Calibri" w:hAnsi="Calibri"/>
          <w:b w:val="0"/>
          <w:color w:val="3A4A28"/>
          <w:sz w:val="20"/>
        </w:rPr>
        <w:t>PE sponsor exit overhang — AA&amp;D Holdings LP majority ownership creates selling pressure risk once lockup periods expire, and the stock's 11.5% decline below the $20 IPO price suggests limited near-term price support [3][4]</w:t>
      </w:r>
    </w:p>
    <w:p>
      <w:pPr>
        <w:spacing w:before="40" w:after="40"/>
        <w:ind w:left="283"/>
      </w:pPr>
      <w:r>
        <w:rPr>
          <w:rFonts w:ascii="Calibri" w:hAnsi="Calibri"/>
          <w:b/>
          <w:color w:val="4A6B25"/>
          <w:sz w:val="20"/>
        </w:rPr>
        <w:t xml:space="preserve">3. </w:t>
      </w:r>
      <w:r>
        <w:rPr>
          <w:rFonts w:ascii="Calibri" w:hAnsi="Calibri"/>
          <w:b w:val="0"/>
          <w:color w:val="3A4A28"/>
          <w:sz w:val="20"/>
        </w:rPr>
        <w:t>Integration and execution risk across multiple acquired businesses — the company grew from $400M to $680M revenue primarily through acquisitions, and the CBI deal added complexity while Q2 pro forma growth was 21.3% vs 47.4% headline, revealing acquisition-dependent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Applied Aerospace manufactures physical aerospace and defense hardware — propellant tanks, satellite assemblies, missile bodies, radar antennas, and directed energy systems [1]. These are tangible, precision-manufactured products requiring specialized facilities, tooling, material science expertise, and defense security clearances that AI cannot replicate. The manufacturing processes involve composite layup, metallic fabrication, and polymer processing with stringent quality requirements for flight-rated hardware. Defense procurement regulations, ITAR restrictions, and multi-year qualification cycles create structural barriers that software cannot breach. Every new satellite, missile, and aircraft requires physical subsystems regardless of AI advancement. AI Opportunity (1/1): AI-driven demand is a direct tailwind for AADX — AI data center expansion drives satellite communications demand (antennas, solar arrays), AI-enabled autonomous combat systems create new platform demand (C5ISR, directed energy), and proliferated space architectures for AI-enhanced intelligence multiply the need for satellite subsystems [1][2]. Space &amp; Launch Systems revenue surged 58.5% in Q2 2026, partially reflecting this secular tailwind.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Applied Aerospace &amp; Defense Q2 2026 Earnings — Record revenue $167.3M (+47.4% YoY / +21.3% pro forma), adj EBITDA $36.4M (+38.4%), net loss $154M (incl $110M SBC), backlog $1.1B+, FY26 guide $670-690M — StockTitan, Seeking Alpha, August 2026</w:t>
      </w:r>
    </w:p>
    <w:p>
      <w:pPr>
        <w:spacing w:before="20" w:after="20"/>
        <w:ind w:left="170"/>
      </w:pPr>
      <w:r>
        <w:rPr>
          <w:rFonts w:ascii="Calibri" w:hAnsi="Calibri"/>
          <w:b/>
          <w:color w:val="4A6B25"/>
          <w:sz w:val="15"/>
        </w:rPr>
        <w:t xml:space="preserve">2. </w:t>
      </w:r>
      <w:r>
        <w:rPr>
          <w:rFonts w:ascii="Calibri" w:hAnsi="Calibri"/>
          <w:b w:val="0"/>
          <w:color w:val="3A4A28"/>
          <w:sz w:val="17"/>
        </w:rPr>
        <w:t>Applied Aerospace &amp; Defense Leadership — CEO Trip Ferguson, President Chris Rogers (elevated Aug 2026), COO Kevin Bidlack, 'iPhone model' for defense, culture emphasis — StockTitan, Morningstar,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AADX Key Statistics: Stock Price $17.71, Forward PE 42.67, D/E 52%, Profit Margin -30.24%, Revenue TTM $575.91M, Avg Volume 1.07M, FCF -$129.43M,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AADX IPO and Company Profile — IPO June 2026 at $20/share, $650M raised, PE-backed rollup since 2022, Huntsville AL HQ, 1,542 employees — EBC Financial, SEC Filings,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