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AMC</w:t>
      </w:r>
      <w:r>
        <w:rPr>
          <w:rFonts w:ascii="Calibri" w:hAnsi="Calibri"/>
          <w:b/>
          <w:color w:val="1A2010"/>
          <w:sz w:val="40"/>
        </w:rPr>
        <w:t xml:space="preserve">  AMC Entertainment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Entertainment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AMC Entertainment is the largest movie theatre exhibitor in the United States and Europe, operating premium formats (IMAX, Dolby Cinema, PRIME) and food-and-beverage concessions. Q2 2026 revenue was a record $1,596.7M (up 14.2% YoY) with Adjusted EBITDA of $321.4M, but a 10.6% trailing profit margin loss and negative equity leave the balance sheet highly leveraged [1].</w:t>
      </w:r>
    </w:p>
    <w:p>
      <w:r>
        <w:rPr>
          <w:rFonts w:ascii="Calibri" w:hAnsi="Calibri"/>
          <w:b/>
          <w:color w:val="6E8450"/>
          <w:sz w:val="18"/>
        </w:rPr>
        <w:t>https://www.amctheatres.com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AMC's last five years brought incremental extensions (premium large formats, expanded food-and-beverage, AMC+ ticketing perks) rather than a new revenue stream or pivot [1]. AI Deployment (0/2): No AI products or quantified AI savings found in research [2]. Market Share (2/2): Largest U.S. exhibitor; domestic ticket revenue rose 11.4% in Q2 2026 versus 10.7% industry growth, and 71M guests visited, up 13.5% [1]. Pipeline (0/2): No proprietary product pipeline; results depend on studio release slates. R&amp;D (0/1): Exhibitors report no meaningful R&amp;D spend.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AMC's stated aim of delivering the best moviegoing experience is clear but not distinctive from peers [2]. Community (0/2): No distinctive charitable program with dollar figures was found; ESG disclosure is minimal with no mention of UN SDGs [3]. Retention (0/2): No retention data found; Comparably rates the executive team C- [2]. Insider Buying (0/2): No evidence of net insider buying found; CEO Adam Aron has led since 2016 amid repeated equity dilution.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stock; available metrics only. Revenue growth of 14.2% YoY (score 1.0) is the lone strength [1]. 5-year revenue CAGR of roughly -3% (2019-2024, from pre-pandemic base; score 0.12, 2x weight) reflects incomplete recovery. Forward P/E is negative at -34.6 (score 0) and profit margin is -10.6% (score 0). D/E and ROE are unavailable because equity is negative and are excluded; PEG unavailable. Weighted 1.24 of 5 available = 2.5, scored 2. Liquidity is ample at roughly $95M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AMC is playing a survival game: dilutive equity raises and heavy debt kept the company alive through the pandemic but reflect finite, short-horizon financing rather than a durable cause. A record Q2 2026 shows operating recovery, yet purpose, trust, and rivalry scores remain low.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AMC articulates a purpose around the moviegoing experience, but it reads as category marketing and is not visibly shaping strategic decisions beyond keeping theatres open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Employee sentiment of the executive team is rated C- on Comparably, and a largely part-time workforce with pandemic-era layoffs suggests low-trust conditions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learning-oriented competitive language; management frames results against industry box-office share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AMC has extended into premium formats, upscale dining, and concessions growth (F&amp;B and merchandise revenue up 15.3% in Q2 2026), but these are incremental changes within exhibition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Decisions in research center on liquidity management and equity issuance to survive; no costly long-term bet that sacrificed near-term results was found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AMC at $2.77 (market cap about $2.5B) is a high-beta turnaround recovering with the box office: Q2 2026 delivered record revenue of $1,596.7M (up 14.2%) and record Adjusted EBITDA of $321.4M (up 69.6%), with first-half Adjusted EBITDA of $359.7M versus $131.8M a year earlier. Domestic ticket revenue outgrew the industry (11.4% vs 10.7%) and food and beverage revenue rose 15.3%, showing strong operating leverage as attendance rises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balance-sheet driven. Trailing profit margin is -10.6%, equity is negative, forward P/E is negative, and the 5-year revenue CAGR is roughly -3%, so the company still has not demonstrated durable profitability. Earnings are hostage to the studio release slate and theatrical windows, and past financing relied on heavy share dilution. A weak slate or streaming-window compression would quickly erase the EBITDA recovery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Strong 2026-2027 studio slate sustaining attendance growth after 71M guests in Q2 2026 (up 13.5%) and Adjusted EBITDA up 69.6%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Premium-format and food-and-beverage mix (F&amp;B and merchandise up 15.3%) lifting per-guest revenue and margins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Debt reduction or refinancing funded by record EBITDA, easing interest burden on a negative-equity balance sheet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equity and a trailing -10.6% net margin leave little cushion; further dilution or refinancing stress would hurt equity holders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Dependence on studio release calendars and shrinking theatrical windows; a weak slate would reverse the 2026 EBITDA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Structural competition from streaming and elevated ESG/regulatory disclosure requirements in the U.S. and Europe adding cost and compliance risk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Theatrical exhibition is a physical, communal experience that AI cannot substitute, and no analyst commentary in research flagged AI as a threat to attendance [2]. Residual risk sits upstream: AI-generated content could pressure studio release volume and compress the theatrical window economics, and streaming already competes for leisure time. AI Opportunity (0/1): No AI revenue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AMC Entertainment Q2 2026 Earnings Release (8-K), July 20, 2026, SEC EDGAR and Yahoo Finance call highlights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AMC Entertainment executive team and leadership profile, investor.amctheatres.com and Comparably,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AMC Entertainment ESG ratings and Form 10-K FY2025 risk factors, Yahoo Finance Sustainalytics and SEC,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