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w:t>
      </w:r>
      <w:r>
        <w:rPr>
          <w:rFonts w:ascii="Calibri" w:hAnsi="Calibri"/>
          <w:b/>
          <w:color w:val="1A2010"/>
          <w:sz w:val="40"/>
        </w:rPr>
        <w:t xml:space="preserve">  Brookfield Corporation</w:t>
      </w:r>
    </w:p>
    <w:p>
      <w:pPr>
        <w:spacing w:after="120"/>
      </w:pPr>
      <w:r>
        <w:rPr>
          <w:rFonts w:ascii="Calibri" w:hAnsi="Calibri"/>
          <w:b/>
          <w:color w:val="6E8450"/>
          <w:sz w:val="18"/>
        </w:rPr>
        <w:t>GROWTH SLEEVE · 2026-08-25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Canada</w:t>
      </w:r>
    </w:p>
    <w:p>
      <w:pPr>
        <w:spacing w:after="80"/>
      </w:pPr>
      <w:r>
        <w:rPr>
          <w:rFonts w:ascii="Calibri" w:hAnsi="Calibri"/>
          <w:b w:val="0"/>
          <w:color w:val="3A4A28"/>
          <w:sz w:val="20"/>
        </w:rPr>
        <w:t>Brookfield Corporation is a global alternative asset manager with over $1 trillion in assets under management across infrastructure, renewable power and transition, private equity, real estate, credit, and insurance solutions. The company operates and invests in long-life, high-quality assets in more than 30 countries. CEO Bruce Flatt (24+ year tenure, transitioning to Chairman) has positioned Brookfield as a leading enabler of the AI-driven infrastructure buildout through data centers, renewable energy, and the Radiant compute platform. BAM (the listed asset management subsidiary) raised a record $77B in Q2 2026 with fee-related earnings of $808M (+20% YoY). Market cap is $93.75B.</w:t>
      </w:r>
    </w:p>
    <w:p>
      <w:r>
        <w:rPr>
          <w:rFonts w:ascii="Calibri" w:hAnsi="Calibri"/>
          <w:b/>
          <w:color w:val="6E8450"/>
          <w:sz w:val="18"/>
        </w:rPr>
        <w:t>200,000 Employees · https://www.bn.brookfield.com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Over the past five years, Brookfield has executed a major strategic pivot from traditional real estate and infrastructure management into AI infrastructure and energy transition at massive scale. The $100 billion AI infrastructure investment program in partnership with NVIDIA and the Kuwait Investment Authority represents a transformative business model shift, and the creation of Radiant — a new NVIDIA Cloud Partner providing full-stack AI compute services leveraging Brookfield's global land, power, and data center infrastructure — validates execution [1][2]. AI Deployment (2/2): Brookfield is shipping AI infrastructure to customers with measurable results — over 2 GW of data center capacity already developed, GPU infrastructure as a service under long-term contracts via Radiant on the NVIDIA DSX platform, and a $5 billion framework agreement with Bloom Energy for up to 1 GW of behind-the-meter power solutions for AI factories [2]. CEO Flatt stated 'we cannot build enough power, we cannot build enough compute,' and has struck partnerships with OpenAI, Anthropic, and Bloom. Market Share (2/2): Brookfield manages over $1 trillion in AUM with fee-bearing capital of $672 billion (+19% YoY), making it one of the world's largest alternative asset managers and the largest owner-operator of renewable power assets globally [1][3]. In AI infrastructure, Brookfield is defining the category as one of the few firms integrating land, power, connectivity, and compute at hyperscale, including a planned $100B data center campus in Kentucky [2]. Product Pipeline (2/2): BAM raised a company record $77 billion in Q2 2026 alone. The Brookfield Artificial Intelligence Infrastructure Fund (BAIIF) targets $10 billion in initial equity commitments. Radiant is launching as a full-stack AI services platform. Brookfield Wealth Solutions targets $200 billion in insurance assets [1][2]. R&amp;D Intensity (0/1): As an asset manager, Brookfield does not report traditional R&amp;D expenditure; innovation is expressed through capital allocation and operational transformation.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Brookfield articulates its purpose as building and operating essential infrastructure that forms the backbone of the global economy — from renewable power to data centers to logistics networks. This mission is specific, connects to societal benefit, and has been validated by 24+ years of consistent investment in real assets under Bruce Flatt's leadership [1]. The 'three Ds' framework (digitalization, decarbonization, deglobalization) provides distinctive strategic clarity, and the massive pivot into AI infrastructure clearly traces to this purpose. However, the mission is ultimately about deploying capital for returns. Community Impact (1/2): Brookfield Renewable is one of the world's largest publicly traded renewable power platforms, providing indirect community benefit through clean energy generation. However, environmental groups have denounced Brookfield for greenwashing related to dams on the Kennebec River in Maine, and the company faces scrutiny for environmental violations in Brazil, complicating the ESG narrative [4]. No specific charitable foundation programs or community investment dollar amounts were identified. Employee Retention (1/2): Flatt has served as CEO for 24+ years, with senior leaders including Nicholas Goodman, Sam Pollock, and Connor Teskey (BAM CEO at 38, described by Flatt as 'merely matching title to substance') demonstrating strong leadership continuity and a meritocratic culture [1]. However, no specific employee retention data across Brookfield's approximately 200,000 employees in 30+ countries is publicly available. Insider Buying (0/2): Net insider selling in 2025-2026. Director Jack Cockwell sold $12.4M of shares in June 2026, and Brian Lawson sold approximately 103,000 shares in January 2025, dwarfing Sam Pollock's $125K purchase in February 2026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using distributable earnings for forward valuation metrics, as GAAP earnings structurally misrepresent economic reality for this complex alternative asset manager. Forward P/E of approximately 14x on distributable earnings scores 1.0 (well below 20 target) [5]. Forward PEG of approximately 0.88 (based on ~16% expected earnings growth) scores 1.0 at 2x weight. D/E of 161% scores 0.60 — elevated but typical for infrastructure-heavy asset managers with $269B total debt [5]. However, GAAP ROE of 2.26% scores only 0.15 at 2x weight — reflecting the structural disconnect where carried interest and fee-related earnings flow through non-GAAP measures while GAAP net income of $1.26B on $80.7B revenue produces thin 1.77% profit margin scoring 0.09 [5]. Revenue growth YoY of approximately 7% scores 0.9, driven by BAM's record $77B fundraising quarter and 61% revenue growth at the asset management level [1][3]. The estimated 5-year revenue CAGR of approximately -3% scores near 0 at 2x weight, reflecting asset sales, mark-to-market effects, and the 2022 corporate restructuring that makes historical comparison unreliable. Liquidity is ample at $180M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Brookfield under Bruce Flatt's 24-year tenure exemplifies infinite game thinking. The company has consistently invested in long-duration, essential assets — infrastructure, renewables, real estate — that generate value over decades, not quarters. The willingness to transform from a Brazilian utility holding company into a $1 trillion alternative asset manager, and then pivot aggressively into AI infrastructure at $100B scale, demonstrates both existential flexibility and courage to lead. Flatt's philosophy of patient capital deployment — 'buy cash flows and proven technologies, but evolve' — aligns fundamentally with Sinek's infinite game principles of playing to keep playing. The transition to Chairman and succession planning through Connor Teskey demonstrates organizational maturity.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Brookfield's purpose — building and operating the essential infrastructure that underpins the global economy and enables the transition to a sustainable future — is genuine and has shaped strategic decisions over more than two decades [1][2]. The consistent focus on real assets through multiple market cycles (Asian financial crisis, GFC, COVID, 2022-2023 rate hiking cycle), and the recent pivot into AI infrastructure, demonstrate that this purpose guides capital allocation. Flatt has noted that '50% of the assets Brookfield owns today didn't exist as an asset class 10-15 years ago,' reflecting purpose-driven evolution. However, the Just Cause is ultimately about deploying capital and generating returns — it describes what the company does exceptionally well but lacks the aspirational quality of a canonical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Brookfield's leadership stability is notable — Bruce Flatt has served as CEO for 24+ years, with senior leaders including Nicholas Goodman, Sam Pollock, and Pierre McNeil serving for over a decade each [1]. The meritocratic culture promotes leaders to senior roles at young ages — Connor Teskey was named CEO of BAM at 38. The decentralized operating model gives portfolio company management teams operational autonomy, suggesting organizational trust. However, Brookfield employs approximately 200,000 people across portfolio companies in 30+ countries, making cultural consistency unverifiable. No specific employee retention, voluntary turnover, or cultural satisfaction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Brookfield's competitive language consistently focuses on the scale of the global opportunity rather than defeating specific competitors. Flatt frames the AI infrastructure buildout as a multi-trillion-dollar opportunity where multiple firms will participate, rather than a zero-sum competition against Blackstone, KKR, or Apollo [2]. The acquisition of Oaktree Capital (Howard Marks) demonstrated willingness to partner with a worthy rival rather than compete against them. The partnership approach — working with NVIDIA, KIA, QIA, OpenAI, Anthropic, Bloom Energy — reflects a collaborative rather than combative orientation. Flatt has stated that 'if you don't evolve your investing skills, you fall behind,' framing competition as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Brookfield has fundamentally reinvented itself multiple times — from a Brazilian utility holding company focused on hydroelectric power, to a Canadian real estate operator, to a global $1T+ alternative asset manager spanning infrastructure, renewable power, private equity, real estate, credit (Oaktree acquisition), and wealth solutions [1]. Flatt noted that '50% of the assets Brookfield owns today didn't exist as an asset class 10-15 years ago.' The current pivots into AI infrastructure ($100B program with NVIDIA, Radiant compute, Bloom Energy) and insurance asset management (Wealth Solutions targeting $200B) represent the latest existential flexions driven by strategic vision rather than desperation [2]. Each transformation built on the previous one — hydroelectric expertise enabled renewables, which enabled energy transition, which now enables the AI infrastructure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Brookfield demonstrates a consistent pattern of courageous long-term bets. The $100B AI infrastructure commitment — the largest private investment program in AI infrastructure globally — represents a transformative multi-decade bet on a buildout cycle whose returns are uncertain for years [2]. Flatt invested heavily in renewable energy when these assets were out of favor, building one of the world's largest clean energy platforms. The company's contrarian approach to investing in distressed assets during downturns (real estate during 2009, retail during COVID) exemplifies choosing long-term capability over short-term safety. The planned $100B data center campus in Kentucky and ongoing $1B+ annual share buyback program reflect deep conviction in the enterprise's intrinsic value exceeding market price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Brookfield Corporation is uniquely positioned at the intersection of two structural mega-trends: the multi-trillion-dollar AI infrastructure buildout and the global energy transition. With over $1 trillion in AUM, fee-bearing capital of $672B (+19% YoY), and a $100B AI infrastructure investment program backed by NVIDIA, KIA, QIA, OpenAI, and Anthropic, Brookfield is one of the few firms globally that can integrate land, power, connectivity, and compute at hyperscale [1][2]. BAM raised a company record $77B in Q2 2026 alone, with fee-related earnings of $808M (+20% YoY) and distributable earnings of $707M (+15% YoY) [3]. Forward P/E of approximately 14x on distributable earnings and PEG of ~0.88 suggest the market significantly undervalues Brookfield's earnings trajectory. The company's plan value per share substantially exceeds the $41.97 stock price, and management has been repurchasing over $1B of shares year-to-date. The 2 GW+ of data center capacity, Radiant compute platform, and $5B Bloom Energy partnership generate tangible, growing AI revenue [2].</w:t>
      </w:r>
    </w:p>
    <w:p>
      <w:pPr>
        <w:spacing w:after="120"/>
      </w:pPr>
      <w:r>
        <w:rPr>
          <w:rFonts w:ascii="Calibri" w:hAnsi="Calibri"/>
          <w:b w:val="0"/>
          <w:color w:val="3A4A28"/>
          <w:sz w:val="20"/>
        </w:rPr>
        <w:t>The primary risk is Brookfield's complex corporate structure, which obscures true economic earnings behind GAAP reporting. GAAP ROE of 2.26% and profit margin of 1.77% are structurally misleading for an asset manager that earns primarily through management fees, carried interest, and realized gains — but they make the stock screen poorly on quantitative metrics [5]. Total debt of $269B against $14.9B cash creates significant leverage, though most sits at the portfolio company level with limited recourse to the parent. Revenue has been volatile due to asset sales, mark-to-market effects, and corporate restructuring (estimated -3% 5-year CAGR). Net insider selling ($12.4M Cockwell, $5M Lawson vs. $125K Pollock) sends mixed signals despite the corporate buyback program. Greenwashing allegations from environmental groups in Maine regarding Kennebec River dams and scrutiny for environmental practices in Brazil complicate the ESG narrative [4]. Execution risk on the $100B AI infrastructure program is material — deploying capital of that scale requires sustained demand for AI compute over a multi-decade horizon, and any cyclical slowdown in hyperscaler capex could delay returns.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fundraising momentum with $77B raised in Q2 2026 alone, fee-bearing capital at $672B (+19% YoY), and the BAIIF targeting $10B in initial equity commitments — fee-related earnings growth of 20% YoY validates the asset management franchise acceleration [1][3]</w:t>
      </w:r>
    </w:p>
    <w:p>
      <w:pPr>
        <w:spacing w:before="40" w:after="40"/>
        <w:ind w:left="283"/>
      </w:pPr>
      <w:r>
        <w:rPr>
          <w:rFonts w:ascii="Calibri" w:hAnsi="Calibri"/>
          <w:b/>
          <w:color w:val="4A6B25"/>
          <w:sz w:val="20"/>
        </w:rPr>
        <w:t xml:space="preserve">2. </w:t>
      </w:r>
      <w:r>
        <w:rPr>
          <w:rFonts w:ascii="Calibri" w:hAnsi="Calibri"/>
          <w:b w:val="0"/>
          <w:color w:val="3A4A28"/>
          <w:sz w:val="20"/>
        </w:rPr>
        <w:t>AI infrastructure buildout deployment generating tangible revenue through Radiant compute platform, 2 GW+ data center capacity, $100B Kentucky campus, and partnerships with OpenAI, Anthropic, and Bloom Energy — CEO Flatt's conviction that 'we cannot build enough power' signals sustained capital deployment ahead [2]</w:t>
      </w:r>
    </w:p>
    <w:p>
      <w:pPr>
        <w:spacing w:before="40" w:after="40"/>
        <w:ind w:left="283"/>
      </w:pPr>
      <w:r>
        <w:rPr>
          <w:rFonts w:ascii="Calibri" w:hAnsi="Calibri"/>
          <w:b/>
          <w:color w:val="4A6B25"/>
          <w:sz w:val="20"/>
        </w:rPr>
        <w:t xml:space="preserve">3. </w:t>
      </w:r>
      <w:r>
        <w:rPr>
          <w:rFonts w:ascii="Calibri" w:hAnsi="Calibri"/>
          <w:b w:val="0"/>
          <w:color w:val="3A4A28"/>
          <w:sz w:val="20"/>
        </w:rPr>
        <w:t>Corporate simplification through insurance entity merger, Wealth Solutions scaling toward $200B target, and continued $1B+ annual share buybacks narrowing the gap between stock price and plan value per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Complex corporate structure with GAAP metrics (2.26% ROE, 1.77% profit margin, 75x trailing P/E) that severely understate economic earnings, creating persistent valuation confusion and deterring quantitative investors despite attractive distributable earnings multiples [5]</w:t>
      </w:r>
    </w:p>
    <w:p>
      <w:pPr>
        <w:spacing w:before="40" w:after="40"/>
        <w:ind w:left="283"/>
      </w:pPr>
      <w:r>
        <w:rPr>
          <w:rFonts w:ascii="Calibri" w:hAnsi="Calibri"/>
          <w:b/>
          <w:color w:val="4A6B25"/>
          <w:sz w:val="20"/>
        </w:rPr>
        <w:t xml:space="preserve">2. </w:t>
      </w:r>
      <w:r>
        <w:rPr>
          <w:rFonts w:ascii="Calibri" w:hAnsi="Calibri"/>
          <w:b w:val="0"/>
          <w:color w:val="3A4A28"/>
          <w:sz w:val="20"/>
        </w:rPr>
        <w:t>Total debt of $269B across the enterprise creates leverage risk — sustained interest rate environments above 5% or credit market dislocation could pressure portfolio company refinancing, distribution capacity, and capital recycling at attractive valuations [5]</w:t>
      </w:r>
    </w:p>
    <w:p>
      <w:pPr>
        <w:spacing w:before="40" w:after="40"/>
        <w:ind w:left="283"/>
      </w:pPr>
      <w:r>
        <w:rPr>
          <w:rFonts w:ascii="Calibri" w:hAnsi="Calibri"/>
          <w:b/>
          <w:color w:val="4A6B25"/>
          <w:sz w:val="20"/>
        </w:rPr>
        <w:t xml:space="preserve">3. </w:t>
      </w:r>
      <w:r>
        <w:rPr>
          <w:rFonts w:ascii="Calibri" w:hAnsi="Calibri"/>
          <w:b w:val="0"/>
          <w:color w:val="3A4A28"/>
          <w:sz w:val="20"/>
        </w:rPr>
        <w:t>AI infrastructure buildout execution risk: deploying $100B requires sustained demand for AI compute over a multi-decade horizon — any cyclical slowdown in hyperscaler capital expenditure, regulatory constraints on data center energy consumption, or technology shifts (efficiency gains reducing compute demand) could delay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Brookfield is structurally immune to AI disruption because it IS AI infrastructure. The company's core business involves physical-world operations — building and operating data centers, renewable power plants, transmission networks, toll roads, ports, and real estate — that AI structurally cannot displace [1][2]. AI dramatically increases demand for Brookfield's core assets: every AI model trained requires power, cooling, connectivity, and physical data center space, all of which Brookfield supplies at scale. The $100B AI infrastructure investment program with NVIDIA validates that Brookfield is a primary beneficiary of the AI buildout cycle. CEO Flatt has stated the company focuses on 'real assets where we don't take any technology risk' and that 'we cannot build enough power, we cannot build enough compute' [2]. The slight deduction from a perfect 9 reflects that some traditional real estate and private equity portfolio companies face margin pressure as AI automates property management and back-office functions. AI Opportunity (1/1): Brookfield generates meaningful and growing AI revenue through multiple channels: 2 GW+ of operational data center capacity, the Radiant compute platform (NVIDIA Cloud Partner) selling GPU infrastructure as a service, the $5B Bloom Energy partnership, AI-focused infrastructure fund, and partnerships with OpenAI and Anthropic. Record $77B quarterly fundraising was partly driven by AI infrastructure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Corporation Financials and Leadership — Bruce Flatt 24-year tenure, $1T+ AUM, distributable earnings, insider transactions, SEC Filings and Investor Relations, 2025-2026</w:t>
      </w:r>
    </w:p>
    <w:p>
      <w:pPr>
        <w:spacing w:before="20" w:after="20"/>
        <w:ind w:left="170"/>
      </w:pPr>
      <w:r>
        <w:rPr>
          <w:rFonts w:ascii="Calibri" w:hAnsi="Calibri"/>
          <w:b/>
          <w:color w:val="4A6B25"/>
          <w:sz w:val="15"/>
        </w:rPr>
        <w:t xml:space="preserve">2. </w:t>
      </w:r>
      <w:r>
        <w:rPr>
          <w:rFonts w:ascii="Calibri" w:hAnsi="Calibri"/>
          <w:b w:val="0"/>
          <w:color w:val="3A4A28"/>
          <w:sz w:val="17"/>
        </w:rPr>
        <w:t>Brookfield AI Infrastructure Strategy — $100B Program with NVIDIA/KIA, Radiant Compute Platform, $5B Bloom Energy Partnership, $100B Kentucky Campus, Partnerships with OpenAI and Anthropic, CNBC Interview with Flatt August 2026</w:t>
      </w:r>
    </w:p>
    <w:p>
      <w:pPr>
        <w:spacing w:before="20" w:after="20"/>
        <w:ind w:left="170"/>
      </w:pPr>
      <w:r>
        <w:rPr>
          <w:rFonts w:ascii="Calibri" w:hAnsi="Calibri"/>
          <w:b/>
          <w:color w:val="4A6B25"/>
          <w:sz w:val="15"/>
        </w:rPr>
        <w:t xml:space="preserve">3. </w:t>
      </w:r>
      <w:r>
        <w:rPr>
          <w:rFonts w:ascii="Calibri" w:hAnsi="Calibri"/>
          <w:b w:val="0"/>
          <w:color w:val="3A4A28"/>
          <w:sz w:val="17"/>
        </w:rPr>
        <w:t>Brookfield Asset Management Q2 2026 — Revenue $1.753B (+61% YoY), Fee-Related Earnings $808M (+20%), Record $77B Fundraising, AUM $1T+, Fee-Bearing Capital $672B, TradingView and Commercial Observer, August 2026</w:t>
      </w:r>
    </w:p>
    <w:p>
      <w:pPr>
        <w:spacing w:before="20" w:after="20"/>
        <w:ind w:left="170"/>
      </w:pPr>
      <w:r>
        <w:rPr>
          <w:rFonts w:ascii="Calibri" w:hAnsi="Calibri"/>
          <w:b/>
          <w:color w:val="4A6B25"/>
          <w:sz w:val="15"/>
        </w:rPr>
        <w:t xml:space="preserve">4. </w:t>
      </w:r>
      <w:r>
        <w:rPr>
          <w:rFonts w:ascii="Calibri" w:hAnsi="Calibri"/>
          <w:b w:val="0"/>
          <w:color w:val="3A4A28"/>
          <w:sz w:val="17"/>
        </w:rPr>
        <w:t>Brookfield Renewable ESG Controversy — Greenwashing Allegations in Maine (Kennebec River Dams), Environmental Violations in Brazil, NRCM, ESG Reports, 2021-2026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BN Key Statistics: Stock Price $41.97, PE 74.58, D/E 161%, ROE 2.26%, Profit Margin 1.77%, Revenue $80.69B, Total Debt $269B, Avg Volume 4.28M,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