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CCL</w:t>
      </w:r>
      <w:r>
        <w:rPr>
          <w:rFonts w:ascii="Calibri" w:hAnsi="Calibri"/>
          <w:b/>
          <w:color w:val="1A2010"/>
          <w:sz w:val="40"/>
        </w:rPr>
        <w:t xml:space="preserve">  Carnival Corporation &amp; plc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2026-10-03 · Inspire: -53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56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Consumer Cyclical · Travel Services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Carnival Corporation is the world's largest cruise company, operating brands including Carnival Cruise Line, Princess, Holland America, Costa, AIDA, P&amp;O and Cunard. Q3 FY2026 (ended Aug 31) revenue was a record $8.44B (+3.5% YoY) with EPS of $1.43 versus $1.35 expected, and FY2026 EPS guidance was raised to $2.24 with EBITDA above $7B [1]. Market cap is about $34.6B.</w:t>
      </w:r>
    </w:p>
    <w:p>
      <w:r>
        <w:rPr>
          <w:rFonts w:ascii="Calibri" w:hAnsi="Calibri"/>
          <w:b/>
          <w:color w:val="6E8450"/>
          <w:sz w:val="18"/>
        </w:rPr>
        <w:t>https://www.carnivalcorp.com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Carnival opened the Celebration Key private destination and rolled out the OceanMedallion wearable platform, one significant new revenue stream, though the core product is unchanged [2]. AI Deployment (0/2): no quantified AI products or savings were found. Market Share (2/2): the world's largest cruise operator with record revenue of $8.44B in Q3 2026 and yields guided up about 2.3% for FY2026 [1]. Pipeline (1/2): new ships and destinations are in the pipeline but dated, revenue-quantified next-gen products were not found. R&amp;D (0/1): no meaningful R&amp;D spend; capex is ship-driven.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Carnival's stated purpose is delivering joyful, memorable vacations with extraordinary care, clear but not distinctive among travel peers [2]. Community Impact (1/2): corporate philanthropy and sustainability programs exist but no distinctive, dollar-quantified community initiative was found [3]. Employee Retention (0/2): no retention data found, and reviews cite 60% recommend rate and fear-based management complaints [2]. Insider Buying (0/2): no net insider buying found.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9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961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5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as Growth; liquidity passed (21.1M shares x $25.76 = ~$543M daily). D/E of 177.1% scores 0.53; ROE of 24.0% scores 1.0 (2x); revenue growth of 3.5% scores 0.78; 5-year revenue CAGR (pandemic recovery, ~35%) scores 1.0 (2x); forward P/E of 10.1 scores 1.0; profit margin of 11.4% scores 0.57. PEG unavailable and excluded. Weighted 6.89 of 8 gives 8.6, rounded to 9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Carnival has survived the pandemic and is repairing its balance sheet, but its purpose is a service promise rather than a Just Cause and its history includes finite behavior such as leverage-fueled growth. Culture signals are mixed, and the company shows incremental rather than transformative adaptation.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joyful vacations is a purpose statement interchangeable with other travel brands and does not visibly drive strategy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CEO Josh Weinstein holds a 63% approval rating while reviews report a mixed culture, some citing fear-based leadership; adequate but not exceptional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competitive messaging focuses on yield, capacity and share versus Royal Caribbean and Norwegian; no rival-learning evidence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paused operations in 2020, then added private destinations and onboard monetization, incremental changes to the core model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management kept the fleet and pursued deleveraging after the pandemic rather than shrinking, and invested in Celebration Key; some long-term commitment, but capital returns resumed as earnings recovered [1][2].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Carnival at $25.76 trades at 10.1x forward earnings with record results: Q3 FY2026 revenue was $8.44B (+3.5%), EPS $1.43 beat consensus of $1.35, and FY2026 EPS guidance rose to $2.24 with EBITDA above $7B [1]. Ticket revenue grew 1.8% to $5.5B and onboard revenue 6.7% to $2.9B, ROE is 24%, and profit margin is 11.4% as debt is repaid [1].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balance sheet is still the constraint: D/E of 177% and a cyclical, discretionary business exposed to fuel prices, consumer weakness and geopolitical shocks. Revenue growth has slowed to 3.5% and yield guidance of about 2.3% implies maturing post-pandemic demand [1]. MSCI rates the company B (laggard), and the stock rose about 13% on the Q3 print, reducing valuation cushion; the ESG profile includes gambling and emissions scrutiny 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Continued yield growth (FY2026 guided ~2.3%) and onboard spend growth of 6.7% lifting EPS toward the raised $2.24 guide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Celebration Key and private-destination ramp raising per-passenger spend and itinerary quality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Deleveraging toward investment-grade status reducing interest cost on a D/E of 177%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Consumer discretionary slowdown or fuel-price spike compressing yields; Q3 revenue growth was only 3.5%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High leverage (D/E 177%) leaves limited resilience against another demand or operational shock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Regulatory and environmental scrutiny of cruise emissions; MSCI rates the company a laggard (B), risking IMO and port restrictions 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(7/9): cruising is a physical-world experience that AI cannot substitute; the main exposure is AI agents and online travel platforms intermediating bookings and pricing, though Carnival sells largely direct and onboard revenue grew 6.7% to $2.9B [1]. Analysts have not flagged AI as an earnings threat. AI Opportunity (0/1): no quantifiable AI revenue was found.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DC2626"/>
          <w:sz w:val="28"/>
        </w:rPr>
        <w:t>-53</w:t>
      </w:r>
      <w:r>
        <w:rPr>
          <w:rFonts w:ascii="Calibri" w:hAnsi="Calibri"/>
          <w:b/>
          <w:color w:val="B8860B"/>
          <w:sz w:val="20"/>
        </w:rPr>
        <w:t xml:space="preserve">    MISALIGNED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Negative: </w:t>
      </w:r>
      <w:r>
        <w:rPr>
          <w:rFonts w:ascii="Calibri" w:hAnsi="Calibri"/>
          <w:b/>
          <w:color w:val="DC2626"/>
          <w:sz w:val="17"/>
        </w:rPr>
        <w:t xml:space="preserve"> Gambling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DC2626"/>
          <w:sz w:val="17"/>
        </w:rPr>
        <w:t xml:space="preserve"> LGBT Activism 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Air Quality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Safety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Carnival Q3 FY2026 earnings release, call highlights and 10-Q, Investing.com / GuruFocus / SEC EDGAR, September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Carnival leadership and culture - Glassdoor, Carnival Corporation leadership pages, Computerworld,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Carnival ESG ratings - KnowESG (MSCI B, Sustainalytics 24.9), Carnival sustainability disclosures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