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DCH</w:t>
      </w:r>
      <w:r>
        <w:rPr>
          <w:rFonts w:ascii="Calibri" w:hAnsi="Calibri"/>
          <w:b/>
          <w:color w:val="1A2010"/>
          <w:sz w:val="40"/>
        </w:rPr>
        <w:t xml:space="preserve">  Dauch Corporation</w:t>
      </w:r>
    </w:p>
    <w:p>
      <w:pPr>
        <w:spacing w:after="120"/>
      </w:pPr>
      <w:r>
        <w:rPr>
          <w:rFonts w:ascii="Calibri" w:hAnsi="Calibri"/>
          <w:b/>
          <w:color w:val="6E8450"/>
          <w:sz w:val="18"/>
        </w:rPr>
        <w:t>GROWTH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Dauch Corporation (formerly American Axle &amp; Manufacturing, rebranded January 2026) designs, engineers, and manufactures driveline and metal forming technologies for electric, hybrid, and internal combustion vehicles. Following the transformational acquisition of Dowlais Group (GKN Automotive and GKN Powder Metallurgy) completed February 2026, Dauch became one of the world's largest automotive driveline suppliers with approximately $10.5B in guided 2026 revenue across 50+ countries. Q1 2026 revenue reached $2.38B (+68.6% YoY from acquisition), Q2 2026 delivered $2.96B with synergies ahead of plan. Dual-listed on NYSE and London Stock Exchange as DCH. Headquartered in Detroit, Michigan.</w:t>
      </w:r>
    </w:p>
    <w:p>
      <w:r>
        <w:rPr>
          <w:rFonts w:ascii="Calibri" w:hAnsi="Calibri"/>
          <w:b/>
          <w:color w:val="6E8450"/>
          <w:sz w:val="18"/>
        </w:rPr>
        <w:t>50,000 Employees · https://www.dauch.com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Dowlais/GKN Automotive acquisition completed February 2026 was a transformative move that doubled revenue to $10.3-10.7B guided and diversified Dauch from a GM-dependent North American driveline supplier to a global powertrain leader with electric drive unit capabilities across 50+ countries [1]. Q2 2026 delivered $2.96B revenue with synergies ahead of plan, validating the integration execution. AI Deployment (0/2): No evidence of AI-powered products shipping to customers or quantified AI-driven cost savings. Manufacturing operations remain traditional auto parts production with standard automation [2]. Market Share (1/2): The Dowlais acquisition makes Dauch a top-tier global driveline supplier, but the company does not lead or define any category — it competes against larger Tier 1 suppliers like Dana, BorgWarner, and ZF for OEM platform awards [1]. Product Pipeline (1/2): Dauch is developing next-generation electric drive units (eDrive) leveraging GKN Automotive's technology, with EV/hybrid driveline products for multiple OEM customers, but specific product names, launch dates, and revenue visibility remain vague [2]. R&amp;D Intensity (1/1): R&amp;D spending is above average for auto parts as Dauch invests in electrification, lightweighting, and advanced driveline technologies through the combined AAM and GKN engineering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Dauch's purpose centers on 'empowering global Associates to perform in every moment with a focus on integrity, teamwork, and excellence' and providing 'innovative technology leadership focused on electrification, lightweighting, efficiency and performance' [2]. The renaming from AAM to Dauch Corporation reflects deep personal commitment from the founding family. Clear and industry-relevant but not transformative — it describes operational excellence rather than a vision of a better future. Community Impact (1/2): American Axle and GKN Automotive published 2025 Sustainability Reports (April 2026) with progress on environmental goals. Detroit-based workforce development initiatives exist but no standout charitable programs with specific dollar amounts were identified post-rebrand [3]. Employee Retention (0/2): CEO David C. Dauch has over 40 years in automotive and has led the company since 2013, with his father co-founding the company in 1994. This family leadership continuity is notable. However, no specific workforce retention or tenure data available for the broader organization. Insider Buying (1/2): CEO David Dauch maintains significant equity holdings and has demonstrated long-term alignment through 30+ years with the company, though no specific recent net insider buying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Dowlais acquisition dramatically expanded Dauch's scale to $10.3-10.7B guided 2026 revenue but loaded the balance sheet with $5.34B in debt against $1.01B cash (D/E ~355%), scoring 0 on debt-to-equity [1]. ROE of -12.08% reflects acquisition-related charges and integration costs, also scoring 0 with 2x weight. Revenue growth YoY of 68.6% (Q1 2026) scores 1.0 but is entirely acquisition-driven rather than organic. Forward P/E of 7.62 is attractively low, scoring 1.0 [1]. Profit margin is improving from negative to approximately 2.7% as integration synergies ($50-75M year-one target) flow through. Five-year revenue CAGR of approximately 5.7% reflects pre-acquisition organic growth trajectory. Q2 2026 showed strong improvement with $2.96B sales, robust synergy capture, and raised full-year guidance [1]. Adjusted free cash flow guidance of $235-325M provides a path to deleveraging once restructuring is 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Dauch demonstrates mixed infinite game characteristics. The Dowlais acquisition represents a bold long-term bet on becoming a global driveline leader — CEO David Dauch bet the company on scale and electrification capabilities, accepting $5.34B in debt and near-term losses for long-term positioning. The family-founded company's renaming to Dauch Corporation signals generational commitment. However, the heavy debt load creates finite pressure to deliver quarterly synergy targets, and the company's purpose remains functional rather than inspiring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Dauch's tagline 'Built to Perform' and mission around 'empowering global Associates' with 'innovative technology leadership' is operational rather than aspirational [2]. The company exists to manufacture driveline components — there is no articulated vision of a better future beyond operational excellence. The Dowlais acquisition signals ambition to lead the electrification transition in automotive driveline, but this is a competitive strategy, not a cause that inspires sacrifice. The family renaming suggests personal legacy commitment but doesn't elevate the purpose beyond industry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stated values emphasize 'empowering global Associates' with 'integrity, teamwork, and excellence' [2]. CEO David Dauch's 30+ year tenure provides leadership continuity, and the Dowlais acquisition required trust across organizations. However, integrating approximately 32,000 Dowlais employees with 20,000 legacy AAM employees across different cultures (US and UK/European) during a period of restructuring and synergy-driven cost cuts creates inherent trust challenges. No specific workforce retention or satisfaction data available for the post-acquisition combined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Dowlais acquisition itself demonstrates recognition that GKN Automotive's strengths in eDrive technology and global diversification were capabilities Dauch needed to acquire rather than build from scratch. Management's commentary focuses on combining complementary strengths — AAM's North American driveline expertise with GKN's European eDrive technology and global footprint — rather than destroying competitors [1][2]. This reflects a learning orientation toward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Dowlais acquisition is a significant strategic pivot — Dauch evolved from a GM-dependent North American driveline supplier to a diversified global powertrain company with electric drive capabilities across 50+ countries [1]. The company also renamed itself from AAM to Dauch Corporation, signaling a new identity. This represents meaningful business model evolution, though it was an adjacent acquisition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David Dauch's decision to acquire Dowlais/GKN was genuinely courageous — the deal roughly tripled the company's debt to $5.34B, will produce near-term GAAP losses, and required betting the company's future on successful integration during an uncertain automotive cycle [1]. The stock was trading at $5-6 when the deal was announced, and Dauch put his family's legacy on the line by renaming the company. However, the heavy debt creates finite pressure to deliver synergies quickly, and the courage of the acquisition may be offset by conventional cost-cutting and restructuring in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Dauch's transformational Dowlais/GKN acquisition creates a global driveline powerhouse with $10.3-10.7B in 2026 guided revenue. Q1 2026 delivered $2.38B revenue with adjusted EPS of $0.34 (beating consensus of -$0.14 loss), and Q2 2026 strengthened to $2.96B with synergies ahead of plan and raised full-year guidance [1]. At just 7.62x forward earnings and $6.35/share, the stock prices in significant execution risk but offers substantial upside if integration succeeds. Synergy targets of $50-75M in year one ($100M+ run rate by year-end) are tracking ahead of schedule, and adjusted EBITDA guidance of $1.3-1.4B implies ~13% margins competitive with Tier 1 peers. The physical driveline business is structurally protected from AI disruption, and the electrification transition increases driveline content and complexity per vehicle [2].</w:t>
      </w:r>
    </w:p>
    <w:p>
      <w:pPr>
        <w:spacing w:after="120"/>
      </w:pPr>
      <w:r>
        <w:rPr>
          <w:rFonts w:ascii="Calibri" w:hAnsi="Calibri"/>
          <w:b w:val="0"/>
          <w:color w:val="3A4A28"/>
          <w:sz w:val="20"/>
        </w:rPr>
        <w:t>The bear case centers on execution risk and balance sheet strain. With $5.34B in debt against $1.01B cash (D/E ~355%) and negative ROE of -12.08%, Dauch has minimal margin for error in the integration [1]. The GAAP diluted loss of $(0.52) in Q1 2026 reflects the financial cost of the transformational bet. Integration of Dowlais — a UK-based company with different culture and operations across 50+ countries and 50,000+ employees — adds complexity that will test management for years. The automotive industry faces cyclical headwinds including tariff uncertainty, potential EV adoption slowdowns, and OEM production cuts. If vehicle production declines or synergies underdeliver, the leverage could become unsustainable. The Inspire Impact Score of 0 (MIXED) is neutral for faith-based investors. Pre-acquisition organic revenue growth was flat (5.7% 5-year CAGR), suggesting the company's standalone growth trajectory was uninspiring — the acquisition was necessary, not optional.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Synergy realization ahead of plan — $50-75M in year-one synergies tracking to exceed $100M run rate by year-end 2026, with full-year guidance raised after Q2 results [1]</w:t>
      </w:r>
    </w:p>
    <w:p>
      <w:pPr>
        <w:spacing w:before="40" w:after="40"/>
        <w:ind w:left="283"/>
      </w:pPr>
      <w:r>
        <w:rPr>
          <w:rFonts w:ascii="Calibri" w:hAnsi="Calibri"/>
          <w:b/>
          <w:color w:val="4A6B25"/>
          <w:sz w:val="20"/>
        </w:rPr>
        <w:t xml:space="preserve">2. </w:t>
      </w:r>
      <w:r>
        <w:rPr>
          <w:rFonts w:ascii="Calibri" w:hAnsi="Calibri"/>
          <w:b w:val="0"/>
          <w:color w:val="3A4A28"/>
          <w:sz w:val="20"/>
        </w:rPr>
        <w:t>Electric drive unit (eDrive) platform ramp leveraging GKN Automotive's leading eDrive technology across multiple OEM customers as EV adoption accelerates and driveline content per vehicle increases [2]</w:t>
      </w:r>
    </w:p>
    <w:p>
      <w:pPr>
        <w:spacing w:before="40" w:after="40"/>
        <w:ind w:left="283"/>
      </w:pPr>
      <w:r>
        <w:rPr>
          <w:rFonts w:ascii="Calibri" w:hAnsi="Calibri"/>
          <w:b/>
          <w:color w:val="4A6B25"/>
          <w:sz w:val="20"/>
        </w:rPr>
        <w:t xml:space="preserve">3. </w:t>
      </w:r>
      <w:r>
        <w:rPr>
          <w:rFonts w:ascii="Calibri" w:hAnsi="Calibri"/>
          <w:b w:val="0"/>
          <w:color w:val="3A4A28"/>
          <w:sz w:val="20"/>
        </w:rPr>
        <w:t>Deleveraging path from D/E ~355% as adjusted free cash flow of $235-325M enables debt reduction — every $100M in debt paydown meaningfully reduces interest burden on the $5.34B debt stack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of 50,000+ employees across Dauch's North American and Dowlais's UK/European operations involves cultural, operational, and technology harmonization risk that could delay synergy capture and increase restructuring costs [1]</w:t>
      </w:r>
    </w:p>
    <w:p>
      <w:pPr>
        <w:spacing w:before="40" w:after="40"/>
        <w:ind w:left="283"/>
      </w:pPr>
      <w:r>
        <w:rPr>
          <w:rFonts w:ascii="Calibri" w:hAnsi="Calibri"/>
          <w:b/>
          <w:color w:val="4A6B25"/>
          <w:sz w:val="20"/>
        </w:rPr>
        <w:t xml:space="preserve">2. </w:t>
      </w:r>
      <w:r>
        <w:rPr>
          <w:rFonts w:ascii="Calibri" w:hAnsi="Calibri"/>
          <w:b w:val="0"/>
          <w:color w:val="3A4A28"/>
          <w:sz w:val="20"/>
        </w:rPr>
        <w:t>D/E of 355% and $5.34B debt creates existential risk in a cyclical downturn — if vehicle production declines 10-15% or OEM program delays reduce revenue, the company's debt service capacity could be severely strained [1]</w:t>
      </w:r>
    </w:p>
    <w:p>
      <w:pPr>
        <w:spacing w:before="40" w:after="40"/>
        <w:ind w:left="283"/>
      </w:pPr>
      <w:r>
        <w:rPr>
          <w:rFonts w:ascii="Calibri" w:hAnsi="Calibri"/>
          <w:b/>
          <w:color w:val="4A6B25"/>
          <w:sz w:val="20"/>
        </w:rPr>
        <w:t xml:space="preserve">3. </w:t>
      </w:r>
      <w:r>
        <w:rPr>
          <w:rFonts w:ascii="Calibri" w:hAnsi="Calibri"/>
          <w:b w:val="0"/>
          <w:color w:val="3A4A28"/>
          <w:sz w:val="20"/>
        </w:rPr>
        <w:t>EV transition timing mismatch — if EV adoption slows, the premium paid for GKN's eDrive capabilities may not generate expected returns; if it accelerates too fast, legacy ICE driveline revenues erode before eDrive scales to replace them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Dauch's core business — physical manufacturing of driveline components, axles, gears, electric drive units, and powder metallurgy products — is structurally protected from AI disruption. These are capital-intensive, precision-engineered physical products requiring metallurgy expertise, manufacturing tolerances measured in microns, and global supply chain operations that AI cannot substitute [2]. The automotive Tier 1 supplier model involves deeply embedded customer relationships with OEM validation cycles spanning years and safety-critical certification requirements. While AI may optimize manufacturing processes (predictive maintenance, quality control), it cannot replace the physical products themselves. The electrification transition actually increases driveline complexity and content per vehicle. AI Opportunity (0/1): No evidence of AI-generated revenue. Dauch uses standard manufacturing automation but has not launched AI-powered products or services, and management has not quantified any AI-related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Dauch Corporation Q1 2026 and Q2 2026 Earnings Results — Revenue $2.38B Q1 (+68.6%), $2.96B Q2, Adjusted EPS $0.34 Q1, Synergies Ahead of Plan, Guidance Raised to $10.3-10.7B Revenue, $1.3-1.4B EBITDA, 2026</w:t>
      </w:r>
    </w:p>
    <w:p>
      <w:pPr>
        <w:spacing w:before="20" w:after="20"/>
        <w:ind w:left="170"/>
      </w:pPr>
      <w:r>
        <w:rPr>
          <w:rFonts w:ascii="Calibri" w:hAnsi="Calibri"/>
          <w:b/>
          <w:color w:val="4A6B25"/>
          <w:sz w:val="15"/>
        </w:rPr>
        <w:t xml:space="preserve">2. </w:t>
      </w:r>
      <w:r>
        <w:rPr>
          <w:rFonts w:ascii="Calibri" w:hAnsi="Calibri"/>
          <w:b w:val="0"/>
          <w:color w:val="3A4A28"/>
          <w:sz w:val="17"/>
        </w:rPr>
        <w:t>Dauch Corporation Leadership, Dowlais Acquisition Details, and EV Strategy — dauch.com, SEC 8-K and 10-Q Filings, CEO David C. Dauch (40+ years automotive), 2026</w:t>
      </w:r>
    </w:p>
    <w:p>
      <w:pPr>
        <w:spacing w:before="20" w:after="20"/>
        <w:ind w:left="170"/>
      </w:pPr>
      <w:r>
        <w:rPr>
          <w:rFonts w:ascii="Calibri" w:hAnsi="Calibri"/>
          <w:b/>
          <w:color w:val="4A6B25"/>
          <w:sz w:val="15"/>
        </w:rPr>
        <w:t xml:space="preserve">3. </w:t>
      </w:r>
      <w:r>
        <w:rPr>
          <w:rFonts w:ascii="Calibri" w:hAnsi="Calibri"/>
          <w:b w:val="0"/>
          <w:color w:val="3A4A28"/>
          <w:sz w:val="17"/>
        </w:rPr>
        <w:t>American Axle and GKN Automotive 2025 Sustainability Reports — gknautomotive.com, April 2026; Dauch Corporation ESG Reporting</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