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DPC</w:t>
      </w:r>
      <w:r>
        <w:rPr>
          <w:rFonts w:ascii="Calibri" w:hAnsi="Calibri"/>
          <w:b/>
          <w:color w:val="1A2010"/>
          <w:sz w:val="40"/>
        </w:rPr>
        <w:t xml:space="preserve">  DPC Holdings Limited (Doncasters Group)</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Components · NYSE · United Kingdom</w:t>
      </w:r>
    </w:p>
    <w:p>
      <w:pPr>
        <w:spacing w:after="80"/>
      </w:pPr>
      <w:r>
        <w:rPr>
          <w:rFonts w:ascii="Calibri" w:hAnsi="Calibri"/>
          <w:b w:val="0"/>
          <w:color w:val="3A4A28"/>
          <w:sz w:val="20"/>
        </w:rPr>
        <w:t>DPC Holdings Limited, trading as Doncasters Group, is a leading independent manufacturer of complex, highly engineered precision cast components and nickel- and cobalt-based superalloys for the hot sections of aerospace engines and industrial gas turbines. Founded in 1778 by Daniel Doncaster in Sheffield, England, the company operates 14 advanced manufacturing facilities across the UK, Europe, US, and Mexico. Key customers include GE Aerospace, Honeywell, Pratt &amp; Whitney, Rolls-Royce, and Siemens Energy. Revenue mix: Industrial Gas Turbine 42%, Aerospace 35%, Transportation 23%. IPO'd on NYSE June 25, 2026 at $33/share, backed by J.F. Lehman &amp; Company.</w:t>
      </w:r>
    </w:p>
    <w:p>
      <w:r>
        <w:rPr>
          <w:rFonts w:ascii="Calibri" w:hAnsi="Calibri"/>
          <w:b/>
          <w:color w:val="6E8450"/>
          <w:sz w:val="18"/>
        </w:rPr>
        <w:t>3,077 Employees · https://www.doncasters.com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Mike Quinn (appointed March 2020), Doncasters executed a dramatic operational turnaround from near-bankruptcy — revenue more than doubled from approximately $400M in 2020 to a record $269M Q2 2026 quarter (+34% YoY), with Aerospace up 47% and Industrial Gas Turbine up 42% [8]. Post-IPO proceeds repaid the Shareholder PIK Loan, ABL facility, and (post quarter-end) the majority of the term loan and all of the MIP, leaving an unleveraged balance sheet [8]. AI Deployment (0/2): No evidence of AI-powered products shipping to customers or quantified AI-driven internal efficiency gains; the company was still rolling out its first-ever ERP system as of mid-2026 [3]. Market Share (1/2): Doncasters remains a leading independent manufacturer of precision cast components but competes against significantly larger integrated peers including Howmet Aerospace and Precision Castparts [3]. Product Pipeline (2/2): A fourth Strategic Customer Partnership was signed with an Aero OEM in Q2 2026, underpinning investment in a new superalloy facility in Alabama, with the four partnerships together targeting more than $200M of incremental annual revenue — specific, dollar-quantified pipeline visibility [8]. R&amp;D Intensity (1/1): Sustained capex intensity (over $170M since 2020, plus the new Alabama facility) on an ~$1B revenue base represents significant reinvestment in advanced manufacturing capabilities [3][8].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Doncasters' vision is 'to be a global leader in turning metals into motion,' with values of excellence, commitment, teamwork, and integrity [4]. The mission clearly identifies what the company does and for whom — converting advanced metals into critical motion components for aerospace and energy — but does not articulate a deeper purpose beyond operational excellence. It is specific to the company but interchangeable with similar industrial manufacturers. Community Impact (0/2): The 2025 Sustainability Report mentions a 2,400-panel solar PV project at Deritend and elevated energy management into top-5 material issues, but no distinctive charitable programs, community foundations, or quantified social investment beyond basic corporate sustainability reporting were identified [5]. Employee Retention (1/2): Employee engagement survey participation reached 91%, suggesting reasonable organizational health through a difficult turnaround period [5]. The leadership team has remained stable since the 2020 restructuring, with Mike Quinn serving continuously as CEO. However, no specific voluntary turnover rates, average tenure data, or evidence of mission-driven retention were found. Insider Buying (1/2): J.F. Lehman &amp; Company retained a significant ownership stake post-IPO rather than fully exiting, and the Qatar Investment Authority committed $75M in a concurrent private placement, signaling institutional conviction in the long-term story [1][3]. However, no individual executive insider buying transactions were reported in the last 12 months, as the company just completed its 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transformed materially post-IPO: proceeds repaid the Shareholder PIK Loan and ABL facility in Q2 2026, and the majority of the term loan plus all of the MIP were retired shortly after quarter-end, leaving Doncasters with an unleveraged balance sheet and D/E of ~76% [8]. Q2 2026 revenue hit a record $269M (+34% YoY) on 47%/42% growth in Aerospace/IGT, and adjusted EBITDA of $48M (+33% YoY) with adjusted net income turning positive at $6M (vs. a -$11M loss a year earlier) — management initiated FY2026 guidance of $1,000-1,040M revenue and $182-187M adjusted EBITDA [8]. However, GAAP profitability remains deeply negative on a trailing basis (-26.12% TTM profit margin, -$249M TTM net loss) due to large one-time IPO-related charges (debt extinguishment, MIP settlement, stock comp acceleration) layered on top of the historical PIK-loan interest burden [6]. ROE is not meaningful given the recent capital structure reset. Forward P/E of 53.79x scores near the 60x floor, and PEG of 1.91 is roughly midway between the 1.0 target and 3.0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Doncasters demonstrates mixed infinite game characteristics. The 248-year heritage provides an unusual foundation of endurance, and Mike Quinn's turnaround leadership required genuine courage — taking a near-bankrupt company through restructuring and ultimately to a public listing. However, the company's articulated purpose is functional rather than inspirational, and the PE-backed ownership structure inherently prioritizes exit timelines over infinite game thinking. The IPO itself is partly a liquidity event for J.F. Lehman, which is a finite game dynamic.</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'Turning metals into motion' is a clear description of what Doncasters does, but it falls short of a Just Cause in Sinek's framework [4]. It does not describe a future state that does not yet exist, nor does it articulate why the company's work matters beyond the product itself. Sinek would note that 248 years of operation is remarkable longevity, but the company's stated purpose reads as marketing — it describes the activity, not the aspiration. There is no evidence that strategic decisions trace back to this purpose or that it has been tested through crisis in a way that validates it as a genuine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engagement survey participation of 91% across 3,077 employees suggests adequate organizational health and willingness to participate in company processes [5]. The leadership team remained stable through the turnaround, with key executives staying through the restructuring and IPO process. The board includes credible aerospace industry veterans including Stan Deal (former Boeing Commercial CEO) and Dirkson Charles (Loar Group CEO) [7]. However, no specific evidence of exceptional trust culture, employee empowerment practices, long average tenure, or low voluntary turnover was found. The turnaround period likely involved significant workforce changes that may have strained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Doncasters' management positions the company as a 'leading independent manufacturer' competing against vertically integrated giants like Howmet Aerospace and Precision Castparts [2][3]. Rather than framing competition as a war to win, management emphasizes Doncasters' differentiation through specialization, customer intimacy, and agility as an independent supplier — using competitors' scale as motivation to be more responsive and specialized. The S-1 prospectus acknowledges the competitive landscape honestly and frames Doncasters' independence as a strategic advantage rather than a weakness.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Doncasters has evolved its business mix meaningfully over recent years, shifting from a more transportation-heavy portfolio toward aerospace and IGT focus [2][6]. The turnaround under J.F. Lehman involved strategic portfolio reshaping — exiting or restructuring underperforming operations while investing in higher-margin aerospace and superalloy capabilities. Revenue has more than doubled since 2020 with a fundamentally different margin profile (EBITDA margins from mid-single digits to 16.5%). However, this was driven more by operational restructuring than a transformative strategic pivot in service of a Just Cause. The core business of precision casting remained the same — the execution improved dramatically.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Mike Quinn's decision to lead the 2020 turnaround of a near-bankrupt aerospace manufacturer required genuine courage — the company was carrying unsustainable debt, pandemic-era aerospace demand had collapsed, and the path to recovery was uncertain [1][2]. Quinn invested $170M+ in capex during the recovery period, prioritizing long-term capability over short-term cash preservation. Taking the company public at a $4.8B market cap valuation after years of net losses is a bold bet on the turnaround thesis. However, these decisions were ultimately backed by J.F. Lehman's private equity capital and strategic direction, making it difficult to separate personal leadership courage from PE-funded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Doncasters offers a compelling aerospace turnaround story with strong secular tailwinds, now confirmed by two quarters as a public company. Q2 2026 revenue hit a record $269M (+34% YoY), with Aerospace up 47% and Industrial Gas Turbine up 42%, and adjusted EBITDA reached $48M (+33% YoY) with adjusted net income turning positive at $6M [8]. Management initiated FY2026 guidance of $1,000-1,040M revenue and $182-187M adjusted EBITDA, and a fourth Strategic Customer Partnership signed with an Aero OEM — underpinning a new superalloy facility in Alabama — brings the four partnerships' combined incremental revenue target to more than $200M annually [8]. Critically, IPO proceeds plus post-quarter debt paydown (term loan and MIP) left the company with an unleveraged balance sheet, a major de-risking event versus the pre-IPO capital structure [8]. Key customers — GE Aerospace, Pratt &amp; Whitney, Rolls-Royce, Siemens Energy — represent long-duration relationships with high switching costs, and the company benefits from three converging demand drivers: commercial aerospace aftermarket recovery, NATO defense spending, and AI-driven electricity demand boosting industrial gas turbine orders [3].</w:t>
      </w:r>
    </w:p>
    <w:p>
      <w:pPr>
        <w:spacing w:after="120"/>
      </w:pPr>
      <w:r>
        <w:rPr>
          <w:rFonts w:ascii="Calibri" w:hAnsi="Calibri"/>
          <w:b w:val="0"/>
          <w:color w:val="3A4A28"/>
          <w:sz w:val="20"/>
        </w:rPr>
        <w:t>The bear case centers on DPC's continued GAAP unprofitability and premium valuation. Despite the operational turnaround and de-leveraging, TTM GAAP profit margin is -26.12% and the TTM net loss is -$249M, reflecting large one-time IPO-related charges (debt extinguishment, MIP settlement, stock comp) layered atop historical losses [6]. Customer concentration risk remains significant — the top two customers represented 38% of revenue at the time of the S-1 [6]. At a forward P/E of 53.79x and PEG of 1.91, the stock is not cheap for a company that has never generated a full year of GAAP profit as a public entity, though adjusted EBITDA margins near 18% and the new unleveraged balance sheet meaningfully de-risk the equity story versus the June 2026 IPO. Execution risk in scaling 14 manufacturing facilities while maintaining quality standards for safety-critical aerospace components remains material — any quality failure could result in fleet groundings and catastrophic reputational damage.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signed Strategic Customer Partnerships (the latest tied to a new Alabama superalloy facility) targeting more than $200M of incremental annual revenue provide unusually specific, dollar-quantified growth visibility for FY2027 and beyond</w:t>
      </w:r>
    </w:p>
    <w:p>
      <w:pPr>
        <w:spacing w:before="40" w:after="40"/>
        <w:ind w:left="283"/>
      </w:pPr>
      <w:r>
        <w:rPr>
          <w:rFonts w:ascii="Calibri" w:hAnsi="Calibri"/>
          <w:b/>
          <w:color w:val="4A6B25"/>
          <w:sz w:val="20"/>
        </w:rPr>
        <w:t xml:space="preserve">2. </w:t>
      </w:r>
      <w:r>
        <w:rPr>
          <w:rFonts w:ascii="Calibri" w:hAnsi="Calibri"/>
          <w:b w:val="0"/>
          <w:color w:val="3A4A28"/>
          <w:sz w:val="20"/>
        </w:rPr>
        <w:t>Commercial aerospace aftermarket cycle acceleration and industrial gas turbine order growth (driven by AI data center electricity demand) continued to show up directly in Q2 2026's 47%/42% segment growth</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has strengthened now that IPO proceeds and post-quarter debt paydown left an unleveraged balance sheet, removing the PIK-loan interest burden that drove much of the historical net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GAAP profit margin of -26.12% and a -$249M TTM net loss show the company has not yet demonstrated sustained GAAP profitability even after the balance sheet reset, and adjusted (non-GAAP) profitability metrics could mask ongoing charges</w:t>
      </w:r>
    </w:p>
    <w:p>
      <w:pPr>
        <w:spacing w:before="40" w:after="40"/>
        <w:ind w:left="283"/>
      </w:pPr>
      <w:r>
        <w:rPr>
          <w:rFonts w:ascii="Calibri" w:hAnsi="Calibri"/>
          <w:b/>
          <w:color w:val="4A6B25"/>
          <w:sz w:val="20"/>
        </w:rPr>
        <w:t xml:space="preserve">2. </w:t>
      </w:r>
      <w:r>
        <w:rPr>
          <w:rFonts w:ascii="Calibri" w:hAnsi="Calibri"/>
          <w:b w:val="0"/>
          <w:color w:val="3A4A28"/>
          <w:sz w:val="20"/>
        </w:rPr>
        <w:t>Premium valuation (forward P/E of 53.79x, PEG of 1.91) leaves limited margin of safety if the FY2026 guidance ($1,000-1,040M revenue, $182-187M EBITDA) is not met or growth decelerates from Q2's 34% pace</w:t>
      </w:r>
    </w:p>
    <w:p>
      <w:pPr>
        <w:spacing w:before="40" w:after="40"/>
        <w:ind w:left="283"/>
      </w:pPr>
      <w:r>
        <w:rPr>
          <w:rFonts w:ascii="Calibri" w:hAnsi="Calibri"/>
          <w:b/>
          <w:color w:val="4A6B25"/>
          <w:sz w:val="20"/>
        </w:rPr>
        <w:t xml:space="preserve">3. </w:t>
      </w:r>
      <w:r>
        <w:rPr>
          <w:rFonts w:ascii="Calibri" w:hAnsi="Calibri"/>
          <w:b w:val="0"/>
          <w:color w:val="3A4A28"/>
          <w:sz w:val="20"/>
        </w:rPr>
        <w:t>180-day lockup expiration in late December 2026 will release pre-IPO shares held by J.F. Lehman and other investors, creating potential supply overhang that could pressure the stock price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Doncasters' core business — precision casting of superalloy components for jet engines and industrial gas turbines — is structurally immune to AI disruption [2][3]. Manufacturing nickel- and cobalt-based superalloys that operate at extreme temperatures inside turbine hot sections requires deep metallurgical expertise, AS9100/Nadcap-certified facilities, decades of process qualification with OEM customers, and physical infrastructure that AI cannot replicate or substitute. The business involves handling molten metals at 1,500°C+, multi-axis machining of complex geometries, and non-destructive testing — all inherently physical processes. Furthermore, AI-driven data center expansion is increasing electricity demand globally, which directly benefits Doncasters' Industrial Gas Turbine segment (42% of revenue) as utilities build gas-fired peaker plants [3]. Defense spending increases also drive aerospace engine demand. No analyst has flagged AI as a substitution risk for precision aerospace casting. AI Opportunity (0/1): No evidence of AI-generated revenue. Doncasters does not sell AI-powered products or services, and no quantified AI-driven internal cost savings were disclosed in the S-1 prospectus or investor materials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DPC Holdings IPO Pricing and NYSE Debut — Seeking Alpha, IPOScoop, MarketScreener, June 2026</w:t>
      </w:r>
    </w:p>
    <w:p>
      <w:pPr>
        <w:spacing w:before="20" w:after="20"/>
        <w:ind w:left="170"/>
      </w:pPr>
      <w:r>
        <w:rPr>
          <w:rFonts w:ascii="Calibri" w:hAnsi="Calibri"/>
          <w:b/>
          <w:color w:val="4A6B25"/>
          <w:sz w:val="15"/>
        </w:rPr>
        <w:t xml:space="preserve">2. </w:t>
      </w:r>
      <w:r>
        <w:rPr>
          <w:rFonts w:ascii="Calibri" w:hAnsi="Calibri"/>
          <w:b w:val="0"/>
          <w:color w:val="3A4A28"/>
          <w:sz w:val="17"/>
        </w:rPr>
        <w:t>DPC Holdings S-1 Registration Statement — SEC Filing, June 2026</w:t>
      </w:r>
    </w:p>
    <w:p>
      <w:pPr>
        <w:spacing w:before="20" w:after="20"/>
        <w:ind w:left="170"/>
      </w:pPr>
      <w:r>
        <w:rPr>
          <w:rFonts w:ascii="Calibri" w:hAnsi="Calibri"/>
          <w:b/>
          <w:color w:val="4A6B25"/>
          <w:sz w:val="15"/>
        </w:rPr>
        <w:t xml:space="preserve">3. </w:t>
      </w:r>
      <w:r>
        <w:rPr>
          <w:rFonts w:ascii="Calibri" w:hAnsi="Calibri"/>
          <w:b w:val="0"/>
          <w:color w:val="3A4A28"/>
          <w:sz w:val="17"/>
        </w:rPr>
        <w:t>Doncasters IPO: 7 Things to Know — EBC Financial Group; BriefGlance NYSE Debut Analysis, June 2026; Doncasters/Manufacturing Today ERP rollout coverage, 2026</w:t>
      </w:r>
    </w:p>
    <w:p>
      <w:pPr>
        <w:spacing w:before="20" w:after="20"/>
        <w:ind w:left="170"/>
      </w:pPr>
      <w:r>
        <w:rPr>
          <w:rFonts w:ascii="Calibri" w:hAnsi="Calibri"/>
          <w:b/>
          <w:color w:val="4A6B25"/>
          <w:sz w:val="15"/>
        </w:rPr>
        <w:t xml:space="preserve">4. </w:t>
      </w:r>
      <w:r>
        <w:rPr>
          <w:rFonts w:ascii="Calibri" w:hAnsi="Calibri"/>
          <w:b w:val="0"/>
          <w:color w:val="3A4A28"/>
          <w:sz w:val="17"/>
        </w:rPr>
        <w:t>Doncasters Vision, Mission, Values &amp; Competencies — doncasters.com, accessed June 2026</w:t>
      </w:r>
    </w:p>
    <w:p>
      <w:pPr>
        <w:spacing w:before="20" w:after="20"/>
        <w:ind w:left="170"/>
      </w:pPr>
      <w:r>
        <w:rPr>
          <w:rFonts w:ascii="Calibri" w:hAnsi="Calibri"/>
          <w:b/>
          <w:color w:val="4A6B25"/>
          <w:sz w:val="15"/>
        </w:rPr>
        <w:t xml:space="preserve">5. </w:t>
      </w:r>
      <w:r>
        <w:rPr>
          <w:rFonts w:ascii="Calibri" w:hAnsi="Calibri"/>
          <w:b w:val="0"/>
          <w:color w:val="3A4A28"/>
          <w:sz w:val="17"/>
        </w:rPr>
        <w:t>DPC Deritend Ltd Sustainability Report 2025 — doncasters.com, accessed June 2026</w:t>
      </w:r>
    </w:p>
    <w:p>
      <w:pPr>
        <w:spacing w:before="20" w:after="20"/>
        <w:ind w:left="170"/>
      </w:pPr>
      <w:r>
        <w:rPr>
          <w:rFonts w:ascii="Calibri" w:hAnsi="Calibri"/>
          <w:b/>
          <w:color w:val="4A6B25"/>
          <w:sz w:val="15"/>
        </w:rPr>
        <w:t xml:space="preserve">6. </w:t>
      </w:r>
      <w:r>
        <w:rPr>
          <w:rFonts w:ascii="Calibri" w:hAnsi="Calibri"/>
          <w:b w:val="0"/>
          <w:color w:val="3A4A28"/>
          <w:sz w:val="17"/>
        </w:rPr>
        <w:t>DPC Holdings Financial Analysis — StockAnalysis.com Statistics and Financials,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J.F. Lehman &amp; Company IPO Announcement and Board Composition — PRNewswire, June 2026</w:t>
      </w:r>
    </w:p>
    <w:p>
      <w:pPr>
        <w:spacing w:before="20" w:after="20"/>
        <w:ind w:left="170"/>
      </w:pPr>
      <w:r>
        <w:rPr>
          <w:rFonts w:ascii="Calibri" w:hAnsi="Calibri"/>
          <w:b/>
          <w:color w:val="4A6B25"/>
          <w:sz w:val="15"/>
        </w:rPr>
        <w:t xml:space="preserve">8. </w:t>
      </w:r>
      <w:r>
        <w:rPr>
          <w:rFonts w:ascii="Calibri" w:hAnsi="Calibri"/>
          <w:b w:val="0"/>
          <w:color w:val="3A4A28"/>
          <w:sz w:val="17"/>
        </w:rPr>
        <w:t>DPC Holdings Q2 2026 Results, Record Revenue, Fourth OEM Partnership, FY26 Guidance — Investing.com, TradingView, Pulse2, ir.doncasters.com,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