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DUK</w:t>
      </w:r>
      <w:r>
        <w:rPr>
          <w:rFonts w:ascii="Calibri" w:hAnsi="Calibri"/>
          <w:b/>
          <w:color w:val="1A2010"/>
          <w:sz w:val="40"/>
        </w:rPr>
        <w:t xml:space="preserve">  Duke Energy Corporation</w:t>
      </w:r>
    </w:p>
    <w:p>
      <w:pPr>
        <w:spacing w:after="120"/>
      </w:pPr>
      <w:r>
        <w:rPr>
          <w:rFonts w:ascii="Calibri" w:hAnsi="Calibri"/>
          <w:b/>
          <w:color w:val="6E8450"/>
          <w:sz w:val="18"/>
        </w:rPr>
        <w:t>DIVIDEND SLEEVE · 2026-08-28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Duke Energy is one of the largest energy holding companies in the United States, serving approximately 8.4 million electric and natural gas customers across six states through its regulated utilities. Under CEO Harry Sideris, Duke announced an industry-record $103 billion five-year capital plan to meet surging power demand driven by AI data centers, with 7.8 GW of service agreements signed and 15 GW of new capacity planned by 2031. H1 2026 revenue was $16.77B (+6.4% YoY) with EPS of $3.35 vs $3.00 prior year. The company reaffirmed full-year 2026 adjusted EPS guidance of $6.55-$6.80 and maintained 5-7% earnings growth target through 2030, with expectations to earn in the top half beginning 2028.</w:t>
      </w:r>
    </w:p>
    <w:p>
      <w:r>
        <w:rPr>
          <w:rFonts w:ascii="Calibri" w:hAnsi="Calibri"/>
          <w:b/>
          <w:color w:val="6E8450"/>
          <w:sz w:val="18"/>
        </w:rPr>
        <w:t>27,600 Employees · https://www.duke-energy.com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Duke Energy is executing a significant strategic pivot from a slow-growth regulated utility (historically 0-0.5% annual load growth) to a data center/AI-driven growth story, with CEO Sideris stating demand is growing at 10 times the historic pace [2]. The $103 billion five-year capital plan — the largest in the U.S. utility industry — represents a transformative commitment to grid expansion, with plans to add 20 GW of new power generation through gas, solar, battery storage, and grid upgrades over a decade [2]. AI Deployment (1/2): Duke's CIO is leading digital and AI transformation initiatives for grid optimization, predictive maintenance, and operational efficiency, and the company is partnering with Microsoft, Google, and AWS on cloud-based grid solutions [2]. However, no specific AI products or quantified AI-driven savings have been publicly reported. Market Share (2/2): Duke is the nation's largest utility grid operator, holding monopoly franchise positions across six states (North Carolina, South Carolina, Florida, Indiana, Ohio, Kentucky), serving 8.4 million customers with essentially no competitive threat to its core regulated service territory [1]. Product Pipeline (2/2): The $103B capital plan provides specific visibility through 2030 with 9.6% earnings base growth, 7.8 GW of data center service agreements already signed, and 15 GW of new capacity targeted by 2031 — a detailed multi-year execution roadmap with quantified milestones [1][2]. R&amp;D Intensity (0/1): Utilities generally invest minimally in R&amp;D as a percentage of revenue, relying on regulatory cost recovery mechanisms rather than proprietary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Duke Energy's purpose of powering communities and building a cleaner energy future is specific and connects the company's operations to essential infrastructure that serves society. CEO Sideris frames innovation as 'in Duke's DNA since its founders dammed a river to electrify a state,' articulating a multi-generational purpose [2]. However, the mission does not rise to transformative status, and the company's environmental track record undermines the 'cleaner energy future' narrative. Community Impact (0/2): Duke's community impact record is net negative due to significant environmental controversies. The 2014 Dan River coal ash spill (39,000 tons) resulted in $202 million in combined EPA and state fines, and the company stores 110 million tons of coal ash in unlined pits, with 24 sites violating federal aquifer and wetland protections [3]. Environmental justice groups have documented the disproportionate placement of polluting infrastructure in minority communities. Duke also lobbied the EPA in 2025 to roll back carbon pollution and coal ash regulations despite its own contamination history [3]. Employee Retention (1/2): Harry Sideris became CEO after an entire career at Duke and predecessor companies, and leadership continuity with internal promotion suggests adequate employee retention and organizational stability, though no specific tenure or turnover data was found.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Duke Energy's Forward P/E of 18.43 is below the 20x target, reflecting reasonable valuation for a utility [4]. D/E of 161% is elevated (target 70%, floor 300%), typical of capital-intensive regulated utilities that finance infrastructure through long-term debt. ROE of 9.66% is below the 15% target but consistent with regulated utility returns where ROE is capped by regulatory commissions [4]. Profit margin of 15.71% approaches but does not reach the 20% target. Revenue growth YoY of ~6.4% is moderate. The dividend profile shows mixed results: the payout ratio of 65.15% is well above the 40% target, 19 consecutive years of dividend growth and decades of consecutive payments score well, but the 5-year dividend growth CAGR of 2.00% is weak against the 6% target (2x weight) [4]. Liquidity is ample at ~$443M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Duke Energy benefits from the inherent long-term orientation of the regulated utility business — the $103B five-year capital plan and 98 consecutive years of dividend payments signal intergenerational thinking. Harry Sideris's promotion from within (entire career at Duke and predecessors) reflects organizational continuity. However, the company's environmental track record — coal ash contamination, lobbying against environmental regulations, and environmental justice concerns — reveals finite-game pragmatism that prioritizes near-term costs over long-term responsibility. Duke plays the long game on capital deployment while playing the short game on environmental stewardship.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Duke Energy's purpose of powering communities with reliable, affordable, and increasingly clean energy connects the company's operations to essential societal infrastructure. The 98-year dividend payment history and multi-generational operational continuity suggest a purpose that transcends any single leader [1]. CEO Sideris frames Duke's mission as 'forging into the future with innovative solutions, smarter grids, and next-generation technology' [2]. However, the cause is undermined by the company's environmental track record (coal ash contamination, lobbying against environmental regulations), creating a gap between articulated purpose and lived behavior that prevents full validation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Duke Energy demonstrates organizational stability with Harry Sideris's promotion from within after an entire career at the company, and the smooth CEO transition suggests a culture of leadership continuity and succession planning [2]. The company employs 27,600 people in a stable regulated industry with union representation providing structural job security. However, no specific data on employee tenure, voluntary turnover, or cultural satisfaction was found to distinguish Duke from average utility employers.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Duke Energy's competitive dynamic is oriented toward self-improvement rather than rival destruction. As a regulated monopoly, Duke does not compete for customers but does compete for capital, talent, and regulatory approval against peers like NextEra, Southern Company, and Dominion. The company's $103B capital plan is positioned as meeting customer and societal needs rather than outspending competitors, and Duke's acknowledgment of the need to partner with technology companies (Microsoft, Google, AWS) for grid innovation reflects humility about its own capabilities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Duke is evolving from a traditional slow-growth utility to an AI/data center infrastructure play, with the $103B capital plan representing the largest investment program in U.S. utility history and a meaningful strategic pivot toward meeting unprecedented demand growth [2]. The company is also transitioning its generation mix toward renewables and gas from coal. However, these are evolutionary adaptations to changing market conditions rather than transformative reinventions — Duke remains a regulated electric utility doing what regulated utilities do, just at a larger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$103B capital plan represents a bold long-term bet on sustained demand growth, committing Duke to the largest utility infrastructure investment in U.S. history with CEO Sideris stating he expects the number to grow [2]. Maintaining 5-7% earnings growth guidance through 2030 while executing this capital plan demonstrates willingness to invest for long-term capability. However, Duke's simultaneous lobbying to roll back coal ash and carbon pollution regulations represents finite-game behavior — protecting near-term costs rather than accepting the consequences of past environmental decisions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Duke Energy at 18.4x forward earnings offers a regulated utility uniquely positioned to benefit from the AI-driven power demand surge. The $103B five-year capital plan drives 9.6% earnings base growth through 2030, backed by 7.8 GW of signed data center service agreements and plans for 15 GW of new capacity by 2031 [1][2]. CEO Sideris states AI demand is growing at 10x the historic pace, transforming Duke from a 0-0.5% load growth utility into a mid-single-digit growth story. The 3.51% dividend yield with 19 consecutive years of increases provides income stability, and management reaffirmed 5-7% EPS growth through 2030 with expectations to earn in the top half beginning 2028 [1]. H1 2026 EPS of $3.35 vs $3.00 demonstrates execution on the growth plan. As a regulated monopoly serving 8.4 million customers, Duke's franchise is essentially unassailable.</w:t>
      </w:r>
    </w:p>
    <w:p>
      <w:pPr>
        <w:spacing w:after="120"/>
      </w:pPr>
      <w:r>
        <w:rPr>
          <w:rFonts w:ascii="Calibri" w:hAnsi="Calibri"/>
          <w:b w:val="0"/>
          <w:color w:val="3A4A28"/>
          <w:sz w:val="20"/>
        </w:rPr>
        <w:t>The bear case centers on execution risk, leverage, and environmental liabilities. D/E of 161% is high even by utility standards, and the $103B capital plan requires sustained regulatory approval for cost recovery — any regulatory resistance could compress returns and force capital plan reductions. The 2.00% 5-year dividend growth CAGR is well below inflation, meaning real dividend value is declining despite 19 years of nominal increases [4]. ROE of 9.66% and profit margin of 15.71% reflect the regulatory return caps that limit upside even as demand accelerates. The coal ash legacy (110 million tons in unlined pits, 24 sites violating federal regulations, $202M in cumulative fines) represents an open-ended environmental liability that could require billions in remediation costs [3]. Duke's lobbying to roll back environmental regulations while claiming a 'cleaner energy future' creates ESG and reputational risk that could affect regulatory relationships. The MISALIGNED Inspire Impact Score (-49) limits allocation for faith-based investors. PEG ratio of 2.85 suggests the current valuation already prices in the AI-driven growth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demand driving power load growth at 10x historic rates, with 7.8 GW of service agreements already signed and a pipeline toward 15 GW by 2031 — each GW translates to billions in regulated rate base growth that earns authorized returns [1][2]</w:t>
      </w:r>
    </w:p>
    <w:p>
      <w:pPr>
        <w:spacing w:before="40" w:after="40"/>
        <w:ind w:left="283"/>
      </w:pPr>
      <w:r>
        <w:rPr>
          <w:rFonts w:ascii="Calibri" w:hAnsi="Calibri"/>
          <w:b/>
          <w:color w:val="4A6B25"/>
          <w:sz w:val="20"/>
        </w:rPr>
        <w:t xml:space="preserve">2. </w:t>
      </w:r>
      <w:r>
        <w:rPr>
          <w:rFonts w:ascii="Calibri" w:hAnsi="Calibri"/>
          <w:b w:val="0"/>
          <w:color w:val="3A4A28"/>
          <w:sz w:val="20"/>
        </w:rPr>
        <w:t>$103B five-year capital plan providing 9.6% earnings base growth through 2030, with management signaling the number will grow as data center demand accelerates beyond current projections [2]</w:t>
      </w:r>
    </w:p>
    <w:p>
      <w:pPr>
        <w:spacing w:before="40" w:after="40"/>
        <w:ind w:left="283"/>
      </w:pPr>
      <w:r>
        <w:rPr>
          <w:rFonts w:ascii="Calibri" w:hAnsi="Calibri"/>
          <w:b/>
          <w:color w:val="4A6B25"/>
          <w:sz w:val="20"/>
        </w:rPr>
        <w:t xml:space="preserve">3. </w:t>
      </w:r>
      <w:r>
        <w:rPr>
          <w:rFonts w:ascii="Calibri" w:hAnsi="Calibri"/>
          <w:b w:val="0"/>
          <w:color w:val="3A4A28"/>
          <w:sz w:val="20"/>
        </w:rPr>
        <w:t>Management guidance to earn in the top half of 5-7% EPS growth range beginning 2028, suggesting earnings acceleration as the capital plan enters its later years of rate base deployment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161% and a $103B capital plan requiring sustained regulatory cost recovery approval — any pushback from state public utility commissions on rate increases could compress earned returns below authorized levels and force capital plan reductions</w:t>
      </w:r>
    </w:p>
    <w:p>
      <w:pPr>
        <w:spacing w:before="40" w:after="40"/>
        <w:ind w:left="283"/>
      </w:pPr>
      <w:r>
        <w:rPr>
          <w:rFonts w:ascii="Calibri" w:hAnsi="Calibri"/>
          <w:b/>
          <w:color w:val="4A6B25"/>
          <w:sz w:val="20"/>
        </w:rPr>
        <w:t xml:space="preserve">2. </w:t>
      </w:r>
      <w:r>
        <w:rPr>
          <w:rFonts w:ascii="Calibri" w:hAnsi="Calibri"/>
          <w:b w:val="0"/>
          <w:color w:val="3A4A28"/>
          <w:sz w:val="20"/>
        </w:rPr>
        <w:t>Coal ash environmental liabilities (110 million tons in unlined pits, 24 sites violating federal regulations) represent an open-ended remediation cost that could require billions in capital not currently reflected in the investment plan [3]</w:t>
      </w:r>
    </w:p>
    <w:p>
      <w:pPr>
        <w:spacing w:before="40" w:after="40"/>
        <w:ind w:left="283"/>
      </w:pPr>
      <w:r>
        <w:rPr>
          <w:rFonts w:ascii="Calibri" w:hAnsi="Calibri"/>
          <w:b/>
          <w:color w:val="4A6B25"/>
          <w:sz w:val="20"/>
        </w:rPr>
        <w:t xml:space="preserve">3. </w:t>
      </w:r>
      <w:r>
        <w:rPr>
          <w:rFonts w:ascii="Calibri" w:hAnsi="Calibri"/>
          <w:b w:val="0"/>
          <w:color w:val="3A4A28"/>
          <w:sz w:val="20"/>
        </w:rPr>
        <w:t>5-year dividend growth CAGR of 2.00% is below inflation, eroding real income value despite the 3.51% nominal yield — if the company cannot accelerate dividend growth above inflation, income-focused investors may reallocate to utilities with stronger dividend growth profiles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Duke Energy is structurally immune to AI disruption and is one of the clearest AI beneficiaries in the market. The utility business involves physical-world operations — power plants, transmission lines, distribution networks, and substations — that AI cannot displace. More critically, AI data centers dramatically increase demand for electricity; CEO Sideris states AI is driving power demand at 10 times the historic pace, and Duke has already secured 7.8 GW of data center service agreements with plans for 15 GW of new capacity by 2031 [2]. The regulated monopoly structure means there is no competitive mechanism through which AI could displace Duke's franchise. As a physical infrastructure provider to AI itself, Duke is at the immune end of the AI disruption spectrum — AI literally cannot function without the electricity Duke generates and distributes. Analysts universally cite utilities as AI beneficiaries rather than AI disruption targets. AI Opportunity (1/1): Duke is generating direct AI-related revenue through data center service agreements (7.8 GW signed), and the $103B capital plan is substantially driven by AI-powered demand growth that will flow through regulated rate structures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Duke Energy Q2 2026 Earnings — H1 Revenue $16.77B (+6.4% YoY), EPS $3.35 vs $3.00, Reaffirmed FY2026 Guidance $6.55-$6.80, 5-7% Growth Through 2030, August 2026</w:t>
      </w:r>
    </w:p>
    <w:p>
      <w:pPr>
        <w:spacing w:before="20" w:after="20"/>
        <w:ind w:left="170"/>
      </w:pPr>
      <w:r>
        <w:rPr>
          <w:rFonts w:ascii="Calibri" w:hAnsi="Calibri"/>
          <w:b/>
          <w:color w:val="4A6B25"/>
          <w:sz w:val="15"/>
        </w:rPr>
        <w:t xml:space="preserve">2. </w:t>
      </w:r>
      <w:r>
        <w:rPr>
          <w:rFonts w:ascii="Calibri" w:hAnsi="Calibri"/>
          <w:b w:val="0"/>
          <w:color w:val="3A4A28"/>
          <w:sz w:val="17"/>
        </w:rPr>
        <w:t>Duke Energy $103B Capital Plan — 7.8 GW Data Center Service Agreements, 15 GW New Capacity by 2031, CEO Harry Sideris '10x Historic Demand Growth', Fortune, April 2026</w:t>
      </w:r>
    </w:p>
    <w:p>
      <w:pPr>
        <w:spacing w:before="20" w:after="20"/>
        <w:ind w:left="170"/>
      </w:pPr>
      <w:r>
        <w:rPr>
          <w:rFonts w:ascii="Calibri" w:hAnsi="Calibri"/>
          <w:b/>
          <w:color w:val="4A6B25"/>
          <w:sz w:val="15"/>
        </w:rPr>
        <w:t xml:space="preserve">3. </w:t>
      </w:r>
      <w:r>
        <w:rPr>
          <w:rFonts w:ascii="Calibri" w:hAnsi="Calibri"/>
          <w:b w:val="0"/>
          <w:color w:val="3A4A28"/>
          <w:sz w:val="17"/>
        </w:rPr>
        <w:t>Duke Energy Environmental Record — Dan River Coal Ash Spill ($202M Fines), 110M Tons Unlined Pits, Environmental Justice Concerns, EPA Regulation Rollback Requests, 2014-2026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DUK Key Statistics: Forward P/E 18.43, D/E 161%, ROE 9.66%, Profit Margin 15.71%, Dividend Yield 3.51%, Stock Price $120.80,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