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GAP</w:t>
      </w:r>
      <w:r>
        <w:rPr>
          <w:rFonts w:ascii="Calibri" w:hAnsi="Calibri"/>
          <w:b/>
          <w:color w:val="1A2010"/>
          <w:sz w:val="40"/>
        </w:rPr>
        <w:t xml:space="preserve">  Gap Inc.</w:t>
      </w:r>
    </w:p>
    <w:p>
      <w:pPr>
        <w:spacing w:after="120"/>
      </w:pPr>
      <w:r>
        <w:rPr>
          <w:rFonts w:ascii="Calibri" w:hAnsi="Calibri"/>
          <w:b/>
          <w:color w:val="6E8450"/>
          <w:sz w:val="18"/>
        </w:rPr>
        <w:t>GROWTH SLEEVE · 2026-08-22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Gap Inc. is one of the largest specialty apparel retailers in the world, operating four brands: Old Navy (value-oriented, ~57% of revenue), Gap (mid-market, ~23%), Banana Republic (premium, ~12%), and Athleta (athleisure, ~8%). Under CEO Richard Dickson (joined August 2023, ex-Mattel COO), the company has posted nine consecutive quarters of positive comparable sales. Q1 FY2026 revenue was $3.50B with Gap brand comps up 10%. The company guides FY2026 adjusted EPS of $2.30-$2.40 and trades at a forward PE of 8.77x with a market cap of approximately $7.7B.</w:t>
      </w:r>
    </w:p>
    <w:p>
      <w:r>
        <w:rPr>
          <w:rFonts w:ascii="Calibri" w:hAnsi="Calibri"/>
          <w:b/>
          <w:color w:val="6E8450"/>
          <w:sz w:val="18"/>
        </w:rPr>
        <w:t>82,000 Employees · https://www.gapinc.com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Richard Dickson's turnaround is producing measurable results — nine consecutive quarters of positive consolidated comparable sales, with Gap brand specifically posting 10% comp growth in Q1 FY2026, the strongest brand performance in years [1]. Dickson brought 'brand-building playbook' expertise from his Barbie revival at Mattel, reinjecting cultural relevance into the Gap brand through celebrity partnerships, trend-right product, and refreshed store experiences. However, Athleta comps declined 11% in Q1, showing the turnaround is uneven across the portfolio. AI Deployment (1/2): Gap established a dedicated AI innovation unit in 2024 under CTO Sven Gerjets, targeting consumer experience enhancement, product-to-market acceleration, and organizational productivity [2]. The company is actively developing AI monetization opportunities, though specific revenue-generating AI applications have not been disclosed. Market Share (1/2): Old Navy is the largest value-oriented apparel brand in the U.S. with approximately $8B in annual sales. Gap, Banana Republic, and Athleta hold significant but challenged positions in their respective segments against Zara, H&amp;M, Uniqlo, and Lululemon. Pipeline (1/2): The Dickson transformation represents a strategic pipeline of brand revitalization initiatives across all four brands, though the roadmap beyond current brand refreshes is unclear. R&amp;D Intensity (1/1): CapEx guidance of ~$650M for FY2026 includes significant technology and digital investment alongside store renovation, reflecting meaningful investment in future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Gap Inc.'s stated purpose — 'purpose-led, performance-driven' — provides a framework but lacks the specificity and emotional resonance of strong missions. The company has operated for 57 years (founded 1969) with a core proposition of making quality, accessible fashion available to a broad consumer base. Dickson's arrival has injected clearer brand positioning and cultural relevance, but the mission remains fundamentally commercial [1]. Community Impact (1/2): Gap maintains extensive ESG reporting aligned with TCFD, SASB, and GRI frameworks, with programs addressing supply chain ethics, environmental sustainability, and community engagement [4]. The Inspire Impact Score of 48 (ALIGNED) with 14 positive attributions reflects genuine breadth of positive impact across environmental, labor, and governance dimensions. Employee Retention (1/2): Glassdoor reviews describe a 'creative work environment where collaboration and innovation are highly valued' with 'strong cross-functional partnerships.' However, reviews also cite 'complex decision-making processes,' 'shifting priorities,' and high workload intensity that varies by team and leadership [3]. The 82,000-employee workforce includes significant retail hourly staff with inherently high turnover. Insider Buying (1/2): Dickson accepted the CEO role with significant equity compensation tied to performance, aligning his interests with shareholders, though specific open-market insider buying data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Gap's valuation is the standout — forward PE of 8.77x scores perfectly against the 20x target, and PEG of 1.53 scores 0.74 with 2x weight, reflecting a cheap stock relative to its growth trajectory [5]. ROE of 25.1% exceeds the 15% target (scoring 1.0 with 2x weight), demonstrating strong capital efficiency despite thin retail margins [5]. D/E of 151% (including operating lease liabilities standard for retail) scores 0.65. Revenue growth is modest — 2% YoY and an estimated 2% 5-year CAGR reflecting the post-pandemic revenue normalization from a FY2022 peak of $16.7B to current $15.4B [1]. Profit margin of 5.6% is below the 20% target (scoring 0.28), typical for apparel retail but limiting the infrastructure score. The stock passes the liquidity floor with daily trading value of ~$137M at $20.57 × 6.64M average shares [5]. Note: despite paying a 2.4% dividend yield, Gap is classified as Growth sleeve due to the 2020-2022 dividend suspension resulting in only ~4 consecutive years of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Gap demonstrates evolving infinite game characteristics under Richard Dickson's leadership transformation, showing willingness to reinvent brands (Gap brand +10% comps), embrace new technologies (AI unit), and accept short-term disruption for long-term brand health [1][2]. The company's 57-year history of surviving multiple retail and fashion cycles — from mall dominance to fast fashion to e-commerce disruption — demonstrates institutional resilience. However, the Athleta decline (-11% comps) and flat overall revenue growth suggest the transformation is incomplete, and Gap has a long history of promising turnarounds that fade (Art Peck, Sonia Syngal). The dividend suspension (2020-2022) revealed finite-game thinking under financial pressure [3].</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Gap's implicit cause — making quality, accessible fashion available to everyone — is partially lived through Old Navy's value positioning and the brand's 57-year accessibility mission. The Inspire Impact Score of 48 (ALIGNED) with 14 positive attributions across environmental, labor, and governance dimensions validates genuine stakeholder commitment [4]. However, 'purpose-led, performance-driven' lacks the specificity and emotional conviction that separates strong causes from corporate positioning statements.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'strong cross-functional partnerships' and a culture that 'encourages inclusivity and diverse perspectives,' with access to broad resources and global exposure [3]. However, complex decision-making processes, layered approvals, shifting priorities, and workload intensity that varies by team indicate organizational friction that undermines deep institutional trust. The CEO transition from Sonia Syngal to interim leadership to Richard Dickson within 18 months (2022-2023) created leadership instability that is still being resolved culturally.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Gap competes against Zara (Inditex), H&amp;M, Uniqlo, and Lululemon, using each rival's strengths as motivation rather than engaging in destructive price wars. Dickson's approach — bringing brand-building expertise from Mattel's Barbie revival — reflects learning from outside the category. The decision to invest in brand equity rather than pure price competition against Shein demonstrates strategic maturity, though Gap has not explicitly articulated competitors as worthy rivals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Gap has repeatedly reinvented itself across retail eras — from mall anchor to standalone stores, from domestic to global, from purely physical to omnichannel. Dickson's transformation represents the latest strategic pivot, applying consumer products brand-building principles (learned at Mattel) to a retail company [1][2]. The establishment of a dedicated AI unit in 2024 shows willingness to embrace technology-driven disruption. The sale of the headquarters building and reinvestment in technology and stores reflects willingness to restructure the asset base for future relevance.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Dickson's appointment represented a bold external hire — a non-retail executive brought in to apply consumer products brand-building expertise to a struggling retailer [1]. The decision to invest $650M in CapEx including significant technology spending, while simultaneously raising the dividend 6% and executing $401M in share buybacks in Q1 alone, shows confidence in the transformation thesis. However, Gap has not yet made the truly difficult strategic decisions (closing underperforming Athleta stores, exiting weak international markets) that would demonstrate full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Gap Inc. at 8.77x forward earnings is a value turnaround play showing real momentum — nine consecutive quarters of positive comparable sales with Gap brand specifically posting 10% comps in Q1 FY2026, validating CEO Richard Dickson's brand-building transformation [1]. Adjusted FY2026 EPS guidance of $2.30-$2.40 (raised from prior guidance) implies a forward PE well below specialty retail peers, while ROE of 25.1% demonstrates strong capital efficiency [5]. The company is returning significant capital — $401M in Q1 share buybacks plus a 6% dividend increase — while maintaining $2.56B in cash [1]. Old Navy ($8B+ annual revenue) is the dominant value apparel brand in the U.S. and benefits from trade-down consumer behavior in uncertain economic environments. The Inspire Impact Score of 48 (ALIGNED) with 14 positive attributions makes Gap suitable for faith-based investment portfolios.</w:t>
      </w:r>
    </w:p>
    <w:p>
      <w:pPr>
        <w:spacing w:after="120"/>
      </w:pPr>
      <w:r>
        <w:rPr>
          <w:rFonts w:ascii="Calibri" w:hAnsi="Calibri"/>
          <w:b w:val="0"/>
          <w:color w:val="3A4A28"/>
          <w:sz w:val="20"/>
        </w:rPr>
        <w:t>The bear case centers on structural retail headwinds, margin pressure, and unproven transformation durability. Revenue growth is anemic at 2% YoY and the 5-year CAGR is approximately 2%, reflecting a company that has been shrinking from its FY2022 peak of $16.7B and has barely recovered to $15.4B [5]. Profit margin of 5.6% is thin even by retail standards and limits the company's ability to invest in brand-building, technology, and store modernization simultaneously. Gross margin declined 130 bps YoY in Q1 FY2026 despite sales growth, suggesting cost pressures from tariffs, freight, and promotional activity [1]. Athleta's -11% comp sales decline indicates the multi-brand portfolio remains unbalanced, with the athleisure brand still searching for its positioning against Lululemon and Alo Yoga. Gap has a history of promising turnarounds that ultimately fade — Art Peck (2015-2019) and Sonia Syngal (2020-2022) both launched transformation plans that produced initial momentum before stalling. The 2020-2022 dividend suspension (only 4 consecutive years since resumption) demonstrates vulnerability to financial stress [5]. At 60 IOWN (HOLD), Gap is a decent value play but not a conviction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Gap brand renaissance under Dickson with 10% comparable sales growth in Q1 FY2026 — the strongest brand performance in years, driven by cultural relevance partnerships, trend-right product, and store experience improvements [1]</w:t>
      </w:r>
    </w:p>
    <w:p>
      <w:pPr>
        <w:spacing w:before="40" w:after="40"/>
        <w:ind w:left="283"/>
      </w:pPr>
      <w:r>
        <w:rPr>
          <w:rFonts w:ascii="Calibri" w:hAnsi="Calibri"/>
          <w:b/>
          <w:color w:val="4A6B25"/>
          <w:sz w:val="20"/>
        </w:rPr>
        <w:t xml:space="preserve">2. </w:t>
      </w:r>
      <w:r>
        <w:rPr>
          <w:rFonts w:ascii="Calibri" w:hAnsi="Calibri"/>
          <w:b w:val="0"/>
          <w:color w:val="3A4A28"/>
          <w:sz w:val="20"/>
        </w:rPr>
        <w:t>Raised FY2026 adjusted EPS guidance to $2.30-$2.40 with aggressive capital return program ($401M Q1 buybacks + 6% dividend increase), signaling management confidence in sustained earnings improvement [1]</w:t>
      </w:r>
    </w:p>
    <w:p>
      <w:pPr>
        <w:spacing w:before="40" w:after="40"/>
        <w:ind w:left="283"/>
      </w:pPr>
      <w:r>
        <w:rPr>
          <w:rFonts w:ascii="Calibri" w:hAnsi="Calibri"/>
          <w:b/>
          <w:color w:val="4A6B25"/>
          <w:sz w:val="20"/>
        </w:rPr>
        <w:t xml:space="preserve">3. </w:t>
      </w:r>
      <w:r>
        <w:rPr>
          <w:rFonts w:ascii="Calibri" w:hAnsi="Calibri"/>
          <w:b w:val="0"/>
          <w:color w:val="3A4A28"/>
          <w:sz w:val="20"/>
        </w:rPr>
        <w:t>AI innovation unit established 2024 targeting consumer experience, product-to-market acceleration, and organizational productivity — potential efficiency gains across 82,000 employees and $15.4B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Anemic revenue growth (2% YoY, 2% 5yr CAGR) and declining gross margin (-130 bps Q1) suggest the turnaround is driving profitability through cost discipline rather than sustainable top-line acceleration, a historically fragile dynamic in retail [1][5]</w:t>
      </w:r>
    </w:p>
    <w:p>
      <w:pPr>
        <w:spacing w:before="40" w:after="40"/>
        <w:ind w:left="283"/>
      </w:pPr>
      <w:r>
        <w:rPr>
          <w:rFonts w:ascii="Calibri" w:hAnsi="Calibri"/>
          <w:b/>
          <w:color w:val="4A6B25"/>
          <w:sz w:val="20"/>
        </w:rPr>
        <w:t xml:space="preserve">2. </w:t>
      </w:r>
      <w:r>
        <w:rPr>
          <w:rFonts w:ascii="Calibri" w:hAnsi="Calibri"/>
          <w:b w:val="0"/>
          <w:color w:val="3A4A28"/>
          <w:sz w:val="20"/>
        </w:rPr>
        <w:t>Athleta comparable sales decline of -11% in Q1 represents a strategic drag on the portfolio — the athleisure brand is losing share to Lululemon and Alo Yoga without a clear path to recovery, and may require divestiture or restructuring [1]</w:t>
      </w:r>
    </w:p>
    <w:p>
      <w:pPr>
        <w:spacing w:before="40" w:after="40"/>
        <w:ind w:left="283"/>
      </w:pPr>
      <w:r>
        <w:rPr>
          <w:rFonts w:ascii="Calibri" w:hAnsi="Calibri"/>
          <w:b/>
          <w:color w:val="4A6B25"/>
          <w:sz w:val="20"/>
        </w:rPr>
        <w:t xml:space="preserve">3. </w:t>
      </w:r>
      <w:r>
        <w:rPr>
          <w:rFonts w:ascii="Calibri" w:hAnsi="Calibri"/>
          <w:b w:val="0"/>
          <w:color w:val="3A4A28"/>
          <w:sz w:val="20"/>
        </w:rPr>
        <w:t>Gap has a documented history of turnaround fatigue — Art Peck (2015-2019) and Sonia Syngal (2020-2022) both launched transformation plans with initial momentum that ultimately stalled, and Dickson's tenure is only 3 years old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Gap's core business of designing, manufacturing, and selling apparel through physical stores and e-commerce faces moderate AI disruption risk. Physical retail provides experiential value that pure AI cannot replicate — fitting rooms, tactile fabric assessment, and in-store browsing remain meaningful consumer behaviors. Brand equity built over 57 years (Old Navy, Gap, Banana Republic) creates switching costs that AI startups cannot easily overcome [1]. However, AI-powered fashion recommendation engines (Stitch Fix, Amazon), generative AI design tools, and AI-optimized supply chains could advantage digitally native competitors. Fast fashion competitors like Shein already use AI-driven trend identification and rapid production cycles that pressure Gap's slower product development process. AI Opportunity (1/1): Gap is actively investing in AI through a dedicated 2024-established innovation unit targeting three areas: consumer experience (personalized recommendations, virtual try-on), product-to-market (AI-accelerated design and merchandising), and organizational productivity (internal process optimization) [2]. While specific AI revenue metrics are not disclosed, the company's 82,000 employees and $15.4B revenue base provide significant surface area for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Gap Inc. Q1 FY2026 Earnings Release — Revenue $3.497B (+1%), Gap Brand Comps +10%, Old Navy +1%, Athleta -11%, Adjusted EPS $0.38, Raised FY2026 Guidance to $2.30-$2.40, Q1 Buybacks $401M,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Gap Inc. AI Strategy — Dedicated Innovation Unit Established 2024, CTO Sven Gerjets, Consumer Experience and Product-to-Market AI, CIO Dive, 2025</w:t>
      </w:r>
    </w:p>
    <w:p>
      <w:pPr>
        <w:spacing w:before="20" w:after="20"/>
        <w:ind w:left="170"/>
      </w:pPr>
      <w:r>
        <w:rPr>
          <w:rFonts w:ascii="Calibri" w:hAnsi="Calibri"/>
          <w:b/>
          <w:color w:val="4A6B25"/>
          <w:sz w:val="15"/>
        </w:rPr>
        <w:t xml:space="preserve">3. </w:t>
      </w:r>
      <w:r>
        <w:rPr>
          <w:rFonts w:ascii="Calibri" w:hAnsi="Calibri"/>
          <w:b w:val="0"/>
          <w:color w:val="3A4A28"/>
          <w:sz w:val="17"/>
        </w:rPr>
        <w:t>Gap Inc. Glassdoor Reviews — Creative Culture, Cross-Functional Partnerships, Complex Decision-Making, High Workload Intensity,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Gap Inc. 2025 Sustainability Report — ESG Initiatives, TCFD/SASB/GRI Aligned, Inspire Impact Score 48, Intellectia.AI</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Nasdaq — GAP Key Statistics: Stock Price $20.57, PE 8.39, Forward PE 8.77, ROE 25.1%, D/E 151%, PEG 1.53, Dividend Yield 2.4%, Avg Volume 6.64M,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