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GM</w:t>
      </w:r>
      <w:r>
        <w:rPr>
          <w:rFonts w:ascii="Calibri" w:hAnsi="Calibri"/>
          <w:b/>
          <w:color w:val="1A2010"/>
          <w:sz w:val="40"/>
        </w:rPr>
        <w:t xml:space="preserve">  General Motors Company</w:t>
      </w:r>
    </w:p>
    <w:p>
      <w:pPr>
        <w:spacing w:after="120"/>
      </w:pPr>
      <w:r>
        <w:rPr>
          <w:rFonts w:ascii="Calibri" w:hAnsi="Calibri"/>
          <w:b/>
          <w:color w:val="6E8450"/>
          <w:sz w:val="18"/>
        </w:rPr>
        <w:t>GROWTH SLEEVE · 2026-08-22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United States</w:t>
      </w:r>
    </w:p>
    <w:p>
      <w:pPr>
        <w:spacing w:after="80"/>
      </w:pPr>
      <w:r>
        <w:rPr>
          <w:rFonts w:ascii="Calibri" w:hAnsi="Calibri"/>
          <w:b w:val="0"/>
          <w:color w:val="3A4A28"/>
          <w:sz w:val="20"/>
        </w:rPr>
        <w:t>General Motors is one of the world's largest automakers, designing, manufacturing, and selling vehicles under the Chevrolet, Buick, GMC, and Cadillac brands, with additional operations in vehicle financing (GM Financial) and autonomous driving technology. Under CEO Mary Barra (since 2014), GM has committed over $35B to EV and autonomous vehicle development while maintaining dominance in the profitable North American truck and SUV market. Q2 2026 revenue rose 1.9% to $48.03B with adjusted EBIT surging 30% to $3.94B, driven by consistent vehicle transaction prices, lower warranty costs, and narrowing EV losses. Management raised full-year 2026 adjusted EPS guidance to $12-14, up from $11.50-$13.50.</w:t>
      </w:r>
    </w:p>
    <w:p>
      <w:r>
        <w:rPr>
          <w:rFonts w:ascii="Calibri" w:hAnsi="Calibri"/>
          <w:b/>
          <w:color w:val="6E8450"/>
          <w:sz w:val="18"/>
        </w:rPr>
        <w:t>167,000 Employees · https://www.gm.com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GM has executed a significant electrification pivot, launching the Ultium battery platform and delivering EV models across its brand portfolio — Chevrolet Equinox EV, GMC Hummer EV, Cadillac LYRIQ, and Chevrolet Silverado EV — while simultaneously strengthening its ICE truck and SUV franchise [2]. However, the $10B+ Cruise autonomous vehicle investment ended in the unit's shutdown, representing a major failed innovation bet. Revenue grew from $127B in 2021 to $185B TTM, a 46% increase driven by pricing power and volume recovery. AI Deployment (1/2): GM deploys AI through its Super Cruise and Ultra Cruise advanced driver assistance systems, which are shipping in production vehicles across multiple Cadillac, Chevrolet, and GMC models [2]. AI is also deployed in manufacturing optimization and quality control. However, the Cruise shutdown demonstrated GM's AI execution challenges relative to competitors like Tesla and Waymo. Market Share (2/2): GM is the #1 automaker in the U.S. by market share, with dominant positions in the highly profitable full-size pickup (Silverado, Sierra) and full-size SUV (Tahoe, Suburban, Yukon) segments that competitors have not been able to replicate at scale [1]. The company has held or gained share in key segments despite the EV transition. Product Pipeline (1/2): GM has a multi-year EV launch cadence across all brands, including next-generation Ultium-based vehicles, and the Super Cruise ADAS system continues expanding to more models. However, the EV strategy pullback and Cruise shutdown reduce pipeline credibility. R&amp;D Intensity (1/1): GM's R&amp;D spending exceeds industry average, reflecting the massive dual investment in both EV/battery technology and continued ICE platform development across four brands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Mary Barra's vision of 'zero crashes, zero emissions, zero congestion' is specific, ambitious, and connects GM's work to genuine social benefits — road safety, environmental sustainability, and urban mobility [2]. The vision has shaped billions in strategic investment and guided the company's transformation agenda since 2016, demonstrating sustained purpose-driven leadership. However, the EV pullback and Cruise shutdown create tension between the stated vision and operational execution. Community Impact (1/2): GM is included in the S&amp;P 500 ESG Index and has asked suppliers to commit to carbon neutrality, with commitments to 100% renewable energy in the U.S. by 2030 and globally by 2040 [3]. During COVID-19, GM pivoted manufacturing to produce ventilators, demonstrating community responsiveness. Employee Retention (1/2): GM maintains a workforce of 167,000 with long tenure typical of the auto industry. Barra's 12+ year CEO tenure and her emphasis on breaking silos and empowering collaboration have transformed the corporate culture from the pre-2014 ignition switch crisis era [2]. Insider Buying (0/2): All insider activity over the past 90 days has been selling, with 18 transactions totaling net sales of -$66.2M, including CEO Mary Barra selling 83,476 shares at $85.10 in June 2026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GM's forward P/E of 6.20x is extremely low, reflecting the market's cyclical discount for automakers and suggesting substantial value if earnings guidance of $12-14 adjusted EPS is achieved [4]. However, the GAAP trailing P/E of 32.0x reveals the gap between adjusted and reported profitability, as EV losses, restructuring charges, and Cruise-related costs depress GAAP earnings [1]. D/E of 199% is elevated but typical for automakers with captive finance operations (GM Financial), scoring below target but above zero. The primary infrastructure weakness is GAAP ROE of 4.01%, well below the 15% target, reflecting depressed GAAP earnings rather than operational inefficiency — adjusted metrics tell a better story [4]. Revenue growth YoY of approximately 2% is modest, though the 5-year CAGR of approximately 8% approaches the 10% target. GAAP profit margin of 2.55% is the largest scoring drag, reflecting the cost burden of the EV transition and one-time charges. The Forward PEG of 0.42 earns full marks on growth-adjusted valuation. The stock clears the liquidity floor with approximately $902M in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GM under Mary Barra demonstrates mixed infinite game characteristics. The 'zero crashes, zero emissions, zero congestion' vision is genuinely ambitious, and the $35B+ EV investment commitment represents real courage. However, the Cruise shutdown, EV strategy pullback, and heavy insider selling reveal tension between infinite game aspiration and finite game reality. Barra's 12-year tenure provides leadership continuity, but the company's competitive response to Tesla and Chinese EVs has been reactive rather than visionary, and the 167,000-person organizational culture carries legacy dynamics from GM's pre-crisis era.</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'Zero crashes, zero emissions, zero congestion' is a genuine Just Cause that connects GM's work to a safer, cleaner, more livable world — it is specific, ambitious, and has shaped billions in strategic investment since 2016 [2]. Barra has consistently articulated this vision across market cycles and strategic challenges. However, the EV strategy pullback (reducing EV production targets) and Cruise shutdown create a gap between the stated cause and operational commitment, suggesting the cause bends when it conflicts with quarterly financial performance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Barra is credited with transforming GM's corporate culture from the siloed, cover-up-prone organization that produced the ignition switch crisis into a more collaborative, accountable structure that empowers employees to raise safety concerns and innovate across divisions [2]. Her emphasis on clear communication and breaking silos has been sustained over 12 years. However, the massive Cruise shutdown affected thousands of employees, and the EV strategy pullback creates organizational uncertainty that can undermine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GM's leadership publicly acknowledging what Tesla, Toyota, or BYD do better, or framing competition as motivation for self-improvement [2]. GM's competitive language tends to emphasize its own strengths (market share, truck dominance) rather than learning from rivals' capabilities. The Cruise shutdown could be interpreted as GM acknowledging Waymo's superiority in autonomous driving, but this was not framed as a learning opportunity in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GM has demonstrated meaningful strategic flexibility under Barra — selling Opel/Vauxhall to PSA to focus on profitable North American markets, exiting markets where it could not win, and committing $35B+ to electrification [2]. The dual ICE/EV strategy preserves optionality. However, the EV pullback and Cruise shutdown suggest limits to GM's flexibility — the company adjusted course when the original vision proved more costly than expected, rather than leaning into the pivot with full commitment. This is pragmatic but not the kind of existential flexibility Sinek champions.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$35B+ EV/AV investment commitment was a genuinely courageous long-term bet, accepting years of EV losses and margin dilution to position GM for the electric future [2]. The Ultium platform investment created a scalable EV architecture across multiple brands and segments. However, the subsequent EV pullback (reducing production targets) and Cruise shutdown ($10B+ write-off) suggest GM's courage has limits — the company retreated when the cost of maintaining the bet became too high, rather than doubling down in the face of adversity [1]. Massive insider selling by CEO Barra (-$66.2M net in 90 days) undermines the signal of long-term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GM at 6.20x forward earnings with a PEG of 0.42 is one of the cheapest large-cap industrials in the market, with raised FY2026 adjusted EPS guidance of $12-14 and adjusted EBIT surging 30% in Q2 to $3.94B on consistent vehicle pricing, lower warranty costs, and narrowing EV losses [1]. The North America franchise is a profit engine — trucks and SUVs (Silverado, Sierra, Tahoe, Suburban, Yukon) generate industry-leading margins with dominant market share that competitors have not been able to replicate. Adjusted automotive free cash flow surged 78% to $5.03B in Q2, funding $10B+ in annual share buybacks that are rapidly reducing share count and compounding per-share metrics [1]. The dual ICE/EV strategy preserves optionality: GM profits massively from current ICE demand while the EV portfolio matures, with Equinox EV and LYRIQ gaining traction at volumes that are beginning to narrow per-unit EV losses.</w:t>
      </w:r>
    </w:p>
    <w:p>
      <w:pPr>
        <w:spacing w:after="120"/>
      </w:pPr>
      <w:r>
        <w:rPr>
          <w:rFonts w:ascii="Calibri" w:hAnsi="Calibri"/>
          <w:b w:val="0"/>
          <w:color w:val="3A4A28"/>
          <w:sz w:val="20"/>
        </w:rPr>
        <w:t>The bear case centers on GAAP profitability distortion, cyclical risk, and EV competitive positioning. The massive gap between trailing GAAP P/E of 32x and forward adjusted P/E of 6.2x reveals that GAAP profitability is severely depressed by EV losses, Cruise write-offs, and restructuring charges — net profit margin of 2.55% and ROE of 4.01% are far below what the adjusted earnings suggest [4]. The auto industry is deeply cyclical, and any macro slowdown or consumer credit tightening could rapidly compress the strong pricing environment that currently underpins GM's earnings. The EV strategy pullback raises questions about long-term competitiveness versus Tesla (software-defined vehicles, autonomous driving) and Chinese EV manufacturers (BYD, Li Auto) who are growing rapidly with AI-integrated platforms. Insider selling of -$66.2M net over 90 days, including CEO Barra's $7.1M sale at $85.10, signals leadership concern about near-term stock levels [4]. The Inspire Impact Score of -49 (MISALIGNED) limits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 surging 30% to $3.94B in Q2 with North America margins returning to the 8-10% target range, demonstrating the core ICE franchise's pricing power and cost discipline as EV losses narrow [1]</w:t>
      </w:r>
    </w:p>
    <w:p>
      <w:pPr>
        <w:spacing w:before="40" w:after="40"/>
        <w:ind w:left="283"/>
      </w:pPr>
      <w:r>
        <w:rPr>
          <w:rFonts w:ascii="Calibri" w:hAnsi="Calibri"/>
          <w:b/>
          <w:color w:val="4A6B25"/>
          <w:sz w:val="20"/>
        </w:rPr>
        <w:t xml:space="preserve">2. </w:t>
      </w:r>
      <w:r>
        <w:rPr>
          <w:rFonts w:ascii="Calibri" w:hAnsi="Calibri"/>
          <w:b w:val="0"/>
          <w:color w:val="3A4A28"/>
          <w:sz w:val="20"/>
        </w:rPr>
        <w:t>Adjusted automotive free cash flow of $5.03B (+78% YoY) in Q2 funding aggressive share buybacks ($10B+ annually) that are rapidly reducing share count and compounding per-share earnings growth [1]</w:t>
      </w:r>
    </w:p>
    <w:p>
      <w:pPr>
        <w:spacing w:before="40" w:after="40"/>
        <w:ind w:left="283"/>
      </w:pPr>
      <w:r>
        <w:rPr>
          <w:rFonts w:ascii="Calibri" w:hAnsi="Calibri"/>
          <w:b/>
          <w:color w:val="4A6B25"/>
          <w:sz w:val="20"/>
        </w:rPr>
        <w:t xml:space="preserve">3. </w:t>
      </w:r>
      <w:r>
        <w:rPr>
          <w:rFonts w:ascii="Calibri" w:hAnsi="Calibri"/>
          <w:b w:val="0"/>
          <w:color w:val="3A4A28"/>
          <w:sz w:val="20"/>
        </w:rPr>
        <w:t>Narrowing EV losses as Equinox EV and LYRIQ scale to higher volumes suggest the EV business is approaching contribution margin breakeven, which would remove the largest drag on consolidated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distortion — net profit margin of 2.55% and ROE of 4.01% reflect EV transition costs, Cruise write-offs, and restructuring charges that make the 6.2x forward P/E less compelling than it appears [4]</w:t>
      </w:r>
    </w:p>
    <w:p>
      <w:pPr>
        <w:spacing w:before="40" w:after="40"/>
        <w:ind w:left="283"/>
      </w:pPr>
      <w:r>
        <w:rPr>
          <w:rFonts w:ascii="Calibri" w:hAnsi="Calibri"/>
          <w:b/>
          <w:color w:val="4A6B25"/>
          <w:sz w:val="20"/>
        </w:rPr>
        <w:t xml:space="preserve">2. </w:t>
      </w:r>
      <w:r>
        <w:rPr>
          <w:rFonts w:ascii="Calibri" w:hAnsi="Calibri"/>
          <w:b w:val="0"/>
          <w:color w:val="3A4A28"/>
          <w:sz w:val="20"/>
        </w:rPr>
        <w:t>Cyclical exposure to consumer discretionary spending — any macro slowdown, rising interest rates, or tightening consumer credit could compress the consistent vehicle transaction prices that currently underpin elevated margins [1]</w:t>
      </w:r>
    </w:p>
    <w:p>
      <w:pPr>
        <w:spacing w:before="40" w:after="40"/>
        <w:ind w:left="283"/>
      </w:pPr>
      <w:r>
        <w:rPr>
          <w:rFonts w:ascii="Calibri" w:hAnsi="Calibri"/>
          <w:b/>
          <w:color w:val="4A6B25"/>
          <w:sz w:val="20"/>
        </w:rPr>
        <w:t xml:space="preserve">3. </w:t>
      </w:r>
      <w:r>
        <w:rPr>
          <w:rFonts w:ascii="Calibri" w:hAnsi="Calibri"/>
          <w:b w:val="0"/>
          <w:color w:val="3A4A28"/>
          <w:sz w:val="20"/>
        </w:rPr>
        <w:t>EV competitive gap versus Tesla (autonomous driving, software) and Chinese manufacturers (BYD, cost structure) could erode GM's market position as the industry transitions, particularly if GM's EV strategy pullback delays critical technology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GM's core business — designing, manufacturing, and selling physical vehicles — is structurally protected from AI disruption by massive capital requirements (factories, tooling, supply chains), regulatory barriers (safety standards, emissions compliance, dealer franchise laws), and brand loyalty built over a century [1]. AI cannot replicate the physical act of building and servicing vehicles. However, GM faces real AI-related competitive pressure: Tesla's AI-driven autonomous driving capability (FSD) and superior software integration create product differentiation risk, while Chinese EV manufacturers with advanced AI-powered features threaten GM's competitive position in key global markets [2]. The Cruise autonomous vehicle shutdown exposed GM's AI execution gap relative to Waymo and Tesla. The traditional dealer network, while a moat against new entrants, may become a liability as software-defined vehicles require over-the-air updates and direct customer relationships. AI Opportunity (1/1): GM generates meaningful AI-embedded revenue through its Super Cruise ADAS system, which is a paid subscription feature shipping in production vehicles across multiple brands, with the system expanding to additional models each year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General Motors Q2 2026 Earnings — Revenue $48.03B (+1.9%), Adjusted EBIT $3.94B (+30%), Adjusted Auto FCF $5.03B (+78%), Raised FY2026 Adj EPS Guidance $12-14, CNBC/Yahoo Finance/PR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GM Leadership and Innovation — Mary Barra CEO 12+ Years, Zero Crashes/Emissions/Congestion Vision, $35B+ EV/AV Investment, Super Cruise ADAS, Columbia Business School/bbntimes, 2014-2026</w:t>
      </w:r>
    </w:p>
    <w:p>
      <w:pPr>
        <w:spacing w:before="20" w:after="20"/>
        <w:ind w:left="170"/>
      </w:pPr>
      <w:r>
        <w:rPr>
          <w:rFonts w:ascii="Calibri" w:hAnsi="Calibri"/>
          <w:b/>
          <w:color w:val="4A6B25"/>
          <w:sz w:val="15"/>
        </w:rPr>
        <w:t xml:space="preserve">3. </w:t>
      </w:r>
      <w:r>
        <w:rPr>
          <w:rFonts w:ascii="Calibri" w:hAnsi="Calibri"/>
          <w:b w:val="0"/>
          <w:color w:val="3A4A28"/>
          <w:sz w:val="17"/>
        </w:rPr>
        <w:t>GM ESG and Safety — S&amp;P 500 ESG Index, Supplier Carbon Neutrality Pledges, Historical Ignition Switch Recalls, COVID Ventilator Pivot, Panmore/TheTruthAboutCars, 2019-2026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GM Key Statistics: Forward P/E 6.20, ROE 4.01%, D/E 199%, Profit Margin 2.55%, PEG 0.42, Insider Selling -$66.2M,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