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LBGJ</w:t>
      </w:r>
      <w:r>
        <w:rPr>
          <w:rFonts w:ascii="Calibri" w:hAnsi="Calibri"/>
          <w:b/>
          <w:color w:val="1A2010"/>
          <w:sz w:val="40"/>
        </w:rPr>
        <w:t xml:space="preserve">  Li Bang International Corporation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2026-10-03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Li Bang International designs, develops, produces and sells stainless-steel commercial kitchen equipment under the Li Bang brand in China, based in Jiangyin and founded in 1992. FY2025 revenue was $11.11M (+2.9% YoY) with a TTM net loss of about $1.0M; the company IPO'd on Nasdaq in October 2024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modest product refreshes in commercial kitchen equipment with no significant launches or pivots found [1]. AI Deployment (0/2): none found. Market Share (0/2): small regional manufacturer with $11M revenue and no share data. Product Pipeline (0/2): no named next-generation products. R&amp;D Intensity (0/1): no data showing above-average spend.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generic commercial-kitchen manufacturer positioning with no distinctive purpose found. Community Impact (0/2), Employee Retention (0/2) and Insider Buying (0/2): no evidence found in searches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 on available metrics (forward P/E, 5yr CAGR and PEG unavailable). D/E of 136% scores 0.71, revenue growth of -9.6% scores 0.35, while ROE of -16.8% (2x weight) and a -9.1% profit margin score 0.0. Weighted 1.06/5 yields 2. Dollar volume of ~$1.49M narrowly clears the $1M liquidity floor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Li Bang is a small, recently listed Chinese manufacturer with no articulated cause beyond selling kitchen equipment, no evidence of costly long-term bets, and a declining top line. There is too little public evidence of an infinite-game posture.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generic manufacturing positioning with no distinctive cause found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stable small company, but no culture or retention data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competitive-mindset evidence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no pivot evident since founding in 1992.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sacrificing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Li Bang trades at $2.03 with FY2025 revenue of $11.11M (+2.9%) and a Q-level revenue of $3.14M in a recent 2026 quarter, offering exposure to Chinese commercial kitchen equipment demand at a micro-cap valuation [1]. Debt-to-equity of 136% is manageable relative to peers and the recent trading breakout drew speculative interest.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Profitability is negative: ROE of -16.8%, profit margin of -9.1%, revenue down 9.6% on the latest yfinance read, and a reported EPS of -$1.28 in a recent quarter [1]. Dollar volume of ~$1.5M sits barely above the liquidity floor, and recent volume of 39,740 shares suggests it can fall below it. Sparse disclosure, China regulatory risk and likely dilution compound the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Recovery in Chinese food-service capex lifting commercial kitchen equipment orders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Path to breakeven from a TTM net loss of about $1.0M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Liquidity and visibility gains from continued Nasdaq listing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decline of 9.6% and negative ROE of -16.8%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Illiquidity: recent volume of ~40K shares and dollar volume near the $1M floor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China-based operations, thin disclosure and potential dilution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stainless-steel kitchen equipment manufacturing is physical and not displaceable by AI; no analyst coverage flags AI risk, though thin coverage limits evidence [1]. AI Opportunity (0/1): no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Li Bang International financial data — StockAnalysis, Simply Wall St, Daily Political (May 2026),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ESG search returned no company-specific information; Inspire data from CSV (score 0),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