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LOGC</w:t>
      </w:r>
      <w:r>
        <w:rPr>
          <w:rFonts w:ascii="Calibri" w:hAnsi="Calibri"/>
          <w:b/>
          <w:color w:val="1A2010"/>
          <w:sz w:val="40"/>
        </w:rPr>
        <w:t xml:space="preserve">  ContextLogic Holdings Inc.</w:t>
      </w:r>
    </w:p>
    <w:p>
      <w:pPr>
        <w:spacing w:after="120"/>
      </w:pPr>
      <w:r>
        <w:rPr>
          <w:rFonts w:ascii="Calibri" w:hAnsi="Calibri"/>
          <w:b/>
          <w:color w:val="6E8450"/>
          <w:sz w:val="18"/>
        </w:rPr>
        <w:t>GROWTH SLEEVE · 2026-08-18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OTC · United States</w:t>
      </w:r>
    </w:p>
    <w:p>
      <w:pPr>
        <w:spacing w:after="80"/>
      </w:pPr>
      <w:r>
        <w:rPr>
          <w:rFonts w:ascii="Calibri" w:hAnsi="Calibri"/>
          <w:b w:val="0"/>
          <w:color w:val="3A4A28"/>
          <w:sz w:val="20"/>
        </w:rPr>
        <w:t>ContextLogic Holdings is a business ownership platform that completed its transformation from the failed Wish e-commerce marketplace by acquiring US Salt for $907.5M in February 2026. US Salt is a fully integrated producer of high-purity evaporated salt products, operating as a niche market leader with high barriers to entry. The company leverages approximately $2.9B in net operating loss carryforwards from the Wish era to create a tax-efficient vehicle for owning durable, cash-generating businesses. ContextLogic trades on the OTCQB after voluntarily delisting from NASDAQ, with a market cap of approximately $414M. Chairman Raja Bobbili (Abrams Capital) and US Salt CEO David Sugarman lead the platform under a decentralized autonomy model.</w:t>
      </w:r>
    </w:p>
    <w:p>
      <w:r>
        <w:rPr>
          <w:rFonts w:ascii="Calibri" w:hAnsi="Calibri"/>
          <w:b/>
          <w:color w:val="6E8450"/>
          <w:sz w:val="18"/>
        </w:rPr>
        <w:t>500 Employees · https://www.contextlogic.com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ContextLogic executed a radical strategic pivot from a failed e-commerce platform (Wish, which saw its stock decline ~95% from IPO) to a business ownership platform anchored by the $907.5M US Salt acquisition [1]. This is a genuine business model transformation, though driven by financial necessity rather than innovation vision, and the combined entity has no track record of execution as a unified company. AI Deployment (0/2): No AI products, services, or AI-driven operational improvements. US Salt operates traditional salt mining and evaporation processes with no AI integration. Market Share (1/2): US Salt is described as a niche market leader in high-purity evaporated salt products with high barriers to entry, holding a meaningful competitive position in a specialized industrial segment [1]. However, the salt market is fragmented and regional, and US Salt's specific market share data is not publicly disclosed. Product Pipeline (0/2): No visible product pipeline or next-generation offerings beyond current salt production operations. The business ownership platform model envisions future bolt-on acquisitions, but no specific targets or timelines have been announced. R&amp;D Intensity (0/1): Salt production involves minimal R&amp;D investment. No evidence of technology development or innovation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ContextLogic's stated purpose is to 'own a collection of niche, competitively advantaged, long-duration businesses led by world-class management teams' and measure success in 'long-term free cash flow per share growth' [1]. This is explicitly a financial engineering mission — it describes an investment strategy, not a purpose that transcends profit. There is no articulated vision of a better future or a cause that inspires beyond financial returns. Community Impact (0/2): No evidence of charitable programs, community investment, or social impact initiatives was identified. The company is in an early integration phase with US Salt, and the prior Wish business had no notable community programs. Employee Retention (0/2): No employee retention data available. The company is in transition with significant organizational restructuring from e-commerce to industrial manufacturing. The OTCQB delisting and business model pivot create workforce uncertainty. Insider Buying (0/2): Abrams Capital and BC Partners Credit hold large minority stakes acquired through the US Salt transaction structure, not through open-market conviction buying [1]. No evidence of post-transaction insider buying by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(Growth stock). Most financial metrics are unavailable or not meaningful due to the post-acquisition transition — FY2024 revenue of $43M reflected the Wish wind-down, not US Salt operations, and no post-acquisition quarterly financials with full comparability have been reported [3]. The company posted a Q2 2026 net loss during US Salt integration, resulting in negative profit margin (scoring 0) and likely negative ROE (scoring 0 with 2x weight). The $907.5M acquisition was partly debt-financed through Abrams Capital and BC Partners Credit, suggesting elevated D/E. Forward P/E, PEG, and revenue growth metrics are either unavailable or not calculable during the transition period. Liquidity is borderline — average daily volume of ~107K shares at $11.20 produces ~$1.2M daily dollar volume, just above the $1M liquidity floor [4]. The $2.9B NOL carryforward is a genuine financial asset not captured by standard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ContextLogic operates with a purely finite mindset oriented toward financial engineering and value extraction. The company's stated strategy — using $2.9B in NOL carryforwards to acquire cash-generating businesses for tax-efficient free cash flow — is explicitly a financial game with no articulated purpose beyond shareholder returns [1]. The transformation from Wish to US Salt was driven by desperation (Wish's 95% stock decline) rather than a vision for a better future. The decentralized autonomy model for acquired businesses, while operationally sensible, reflects a holding company mentality rather than a purpose-driven organization. Chairman Raja Bobbili (Abrams Capital) brings activist investor governance, further reinforcing the finite, returns-focused orientation.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ContextLogic has no Just Cause. The company's purpose is explicitly financial — leveraging tax assets (NOLs) to acquire cash-generating businesses for long-term free cash flow per share growth [1]. This is an investment strategy, not a vision of a better future. There is no articulated cause that invites others to contribute, benefits society, or describes an idealistic future state. Sinek would identify this as a textbook finite player — the company exists to maximize shareholder value through financial engineering.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satisfaction or trust data is available. The company has undergone a radical transformation from e-commerce to industrial manufacturing, with the Wish workforce largely replaced or eliminated. The OTCQB delisting, business model pivot, and governance restructuring (Abrams Capital-led board) create organizational uncertainty. US Salt CEO David Sugarman operates under a multi-year incentive agreement, which provides stability for the subsidiary but does not indicate broader organizational trust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positioning language or rival-referencing was found. ContextLogic's holding company structure means it does not compete directly in any market — US Salt operates autonomously within the salt industry, and the parent company's competitive context is other holding companies and capital allocators. No management commentary references learning from competitors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Wish (failed e-commerce) to ContextLogic (business ownership platform with US Salt) is one of the most dramatic pivots in recent public market history — the company abandoned a dying business entirely and reinvented itself as an industrial holding company [1]. While this pivot was driven by desperation rather than purpose, the sheer magnitude of the transformation demonstrates organizational willingness to fundamentally reinvent the business model. However, this single pivot does not constitute a pattern of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pivot from Wish to US Salt required accepting that the original business was irreparably broken and committing $907.5M to an entirely different industry — a decision most boards would resist [1]. Voluntarily delisting from NASDAQ to trade on OTCQB, while unconventional, demonstrated willingness to prioritize operational flexibility over market perception. However, these decisions were forced by circumstances (Wish's collapse) rather than proactive long-term investment, and the financial engineering approach (NOL harvesting) is risk-averse rather than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ContextLogic at a $414M market cap offers an asymmetric value opportunity centered on the $2.9B NOL carryforward — at a 21% corporate tax rate, these losses represent approximately $609M in future tax savings, exceeding the current enterprise value and providing a tax shield that effectively gives investors US Salt's cash flows for free [1]. US Salt's niche market leadership in high-purity evaporated salt, high barriers to entry, and stable end-market demand (food processing, water treatment, chemicals) provide durable cash generation. The Abrams Capital-led board brings disciplined capital allocation expertise, and the decentralized autonomy model for acquired businesses minimizes corporate overhead. If the platform successfully executes bolt-on acquisitions and deploys the NOL shield, the compounding effect on free cash flow per share could be substantial over a 5-10 year horizon.</w:t>
      </w:r>
    </w:p>
    <w:p>
      <w:pPr>
        <w:spacing w:after="120"/>
      </w:pPr>
      <w:r>
        <w:rPr>
          <w:rFonts w:ascii="Calibri" w:hAnsi="Calibri"/>
          <w:b w:val="0"/>
          <w:color w:val="3A4A28"/>
          <w:sz w:val="20"/>
        </w:rPr>
        <w:t>The bear case is severe and multi-dimensional. The company has no track record as a combined entity — US Salt was acquired just six months ago (February 2026), and Q2 2026 produced a net loss during integration, with no evidence of the 'sustainable cash flow growth' that anchors the investment thesis [3]. The OTCQB listing severely limits the investor base (no index inclusion, many institutional mandates exclude OTC stocks), and average daily volume of only ~107K shares ($1.2M daily dollar volume) creates acute liquidity risk that traps shareholders in a declining stock [4]. The $907.5M acquisition price implies US Salt generates significant revenue, yet no post-acquisition financial transparency has been provided to public investors. The Wish-era NOLs may face IRS scrutiny under Section 382 limitations given the radical change of business, potentially reducing the $2.9B face value. The company has a SELL recommendation — the combination of unproven business model, borderline liquidity, OTC trading, negative profitability, no dividend, minimal innovation, and purely financial-engineering purpose fails to meet IOWN quality standards across Excellence and Infinite Game dimensions.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Post-integration US Salt financial disclosure — the first full-year results showing US Salt's standalone revenue, margins, and cash flow generation would validate or invalidate the investment thesis and could catalyze a re-rating if cash flows exceed the market cap [3]</w:t>
      </w:r>
    </w:p>
    <w:p>
      <w:pPr>
        <w:spacing w:before="40" w:after="40"/>
        <w:ind w:left="283"/>
      </w:pPr>
      <w:r>
        <w:rPr>
          <w:rFonts w:ascii="Calibri" w:hAnsi="Calibri"/>
          <w:b/>
          <w:color w:val="4A6B25"/>
          <w:sz w:val="20"/>
        </w:rPr>
        <w:t xml:space="preserve">2. </w:t>
      </w:r>
      <w:r>
        <w:rPr>
          <w:rFonts w:ascii="Calibri" w:hAnsi="Calibri"/>
          <w:b w:val="0"/>
          <w:color w:val="3A4A28"/>
          <w:sz w:val="20"/>
        </w:rPr>
        <w:t>Bolt-on acquisitions using the $2.9B NOL shield — additional acquisitions of niche, cash-generating businesses would demonstrate platform execution and accelerate tax-efficient free cash flow compounding [1]</w:t>
      </w:r>
    </w:p>
    <w:p>
      <w:pPr>
        <w:spacing w:before="40" w:after="40"/>
        <w:ind w:left="283"/>
      </w:pPr>
      <w:r>
        <w:rPr>
          <w:rFonts w:ascii="Calibri" w:hAnsi="Calibri"/>
          <w:b/>
          <w:color w:val="4A6B25"/>
          <w:sz w:val="20"/>
        </w:rPr>
        <w:t xml:space="preserve">3. </w:t>
      </w:r>
      <w:r>
        <w:rPr>
          <w:rFonts w:ascii="Calibri" w:hAnsi="Calibri"/>
          <w:b w:val="0"/>
          <w:color w:val="3A4A28"/>
          <w:sz w:val="20"/>
        </w:rPr>
        <w:t>Potential re-listing on a major exchange (NASDAQ/NYSE) if the business demonstrates consistent profitability and institutional-grade governance, which would expand the investor base and improve liquidity from the current ~107K shares/day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Borderline liquidity with only ~107K shares average daily volume at $11.20 ($1.2M daily dollar volume), creating severe position risk for any investor and raising the possibility of falling below the $1M liquidity floor if the stock price declines [4]</w:t>
      </w:r>
    </w:p>
    <w:p>
      <w:pPr>
        <w:spacing w:before="40" w:after="40"/>
        <w:ind w:left="283"/>
      </w:pPr>
      <w:r>
        <w:rPr>
          <w:rFonts w:ascii="Calibri" w:hAnsi="Calibri"/>
          <w:b/>
          <w:color w:val="4A6B25"/>
          <w:sz w:val="20"/>
        </w:rPr>
        <w:t xml:space="preserve">2. </w:t>
      </w:r>
      <w:r>
        <w:rPr>
          <w:rFonts w:ascii="Calibri" w:hAnsi="Calibri"/>
          <w:b w:val="0"/>
          <w:color w:val="3A4A28"/>
          <w:sz w:val="20"/>
        </w:rPr>
        <w:t>Unproven business model with no post-acquisition track record — Q2 2026 produced a net loss during US Salt integration, and no post-acquisition revenue or cash flow data has been publicly disclosed to validate the 'durable, cash-generating' thesis [3]</w:t>
      </w:r>
    </w:p>
    <w:p>
      <w:pPr>
        <w:spacing w:before="40" w:after="40"/>
        <w:ind w:left="283"/>
      </w:pPr>
      <w:r>
        <w:rPr>
          <w:rFonts w:ascii="Calibri" w:hAnsi="Calibri"/>
          <w:b/>
          <w:color w:val="4A6B25"/>
          <w:sz w:val="20"/>
        </w:rPr>
        <w:t xml:space="preserve">3. </w:t>
      </w:r>
      <w:r>
        <w:rPr>
          <w:rFonts w:ascii="Calibri" w:hAnsi="Calibri"/>
          <w:b w:val="0"/>
          <w:color w:val="3A4A28"/>
          <w:sz w:val="20"/>
        </w:rPr>
        <w:t>Section 382 NOL limitation risk — the radical change from e-commerce to industrial salt production may trigger IRS scrutiny of the $2.9B NOL carryforward, potentially reducing the tax shield value that underpins the investment thesis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ContextLogic's core business through US Salt involves physical extraction and processing of salt from underground brine deposits — a physical-world industrial operation that AI structurally cannot displace [1]. Salt is an essential commodity used in food processing, water treatment, chemical manufacturing, and road de-icing, with demand driven by non-discretionary end markets that are immune to technological substitution. The mining, evaporation, and processing of high-purity salt requires physical infrastructure, geological access, and regulatory permits that create permanent barriers to AI displacement. No analyst has identified any AI disruption risk to salt production. AI Opportunity (0/1): ContextLogic does not generate any revenue from AI products or services. Salt production has no AI revenue component.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LOGC US Salt Acquisition — $907.5M Deal Closed Feb 2026, $2.9B NOL Carryforwards, Business Ownership Platform, Abrams Capital/BC Partners Credit Partnership — GlobeNewswire, TipRanks, BC Partners, February 2026</w:t>
      </w:r>
    </w:p>
    <w:p>
      <w:pPr>
        <w:spacing w:before="20" w:after="20"/>
        <w:ind w:left="170"/>
      </w:pPr>
      <w:r>
        <w:rPr>
          <w:rFonts w:ascii="Calibri" w:hAnsi="Calibri"/>
          <w:b/>
          <w:color w:val="4A6B25"/>
          <w:sz w:val="15"/>
        </w:rPr>
        <w:t xml:space="preserve">2. </w:t>
      </w:r>
      <w:r>
        <w:rPr>
          <w:rFonts w:ascii="Calibri" w:hAnsi="Calibri"/>
          <w:b w:val="0"/>
          <w:color w:val="3A4A28"/>
          <w:sz w:val="17"/>
        </w:rPr>
        <w:t>LOGC Leadership &amp; Strategy — Chairman Raja Bobbili (Abrams Capital), US Salt CEO David Sugarman, Decentralized Autonomy Model, Long-Term FCF/Share Growth — ContextLogic IR, Globe and Mail, 2026</w:t>
      </w:r>
    </w:p>
    <w:p>
      <w:pPr>
        <w:spacing w:before="20" w:after="20"/>
        <w:ind w:left="170"/>
      </w:pPr>
      <w:r>
        <w:rPr>
          <w:rFonts w:ascii="Calibri" w:hAnsi="Calibri"/>
          <w:b/>
          <w:color w:val="4A6B25"/>
          <w:sz w:val="15"/>
        </w:rPr>
        <w:t xml:space="preserve">3. </w:t>
      </w:r>
      <w:r>
        <w:rPr>
          <w:rFonts w:ascii="Calibri" w:hAnsi="Calibri"/>
          <w:b w:val="0"/>
          <w:color w:val="3A4A28"/>
          <w:sz w:val="17"/>
        </w:rPr>
        <w:t>LOGC Q2 2026 Financial Results — Net Loss During US Salt Integration, Stock Price $11.20, Market Cap ~$414M, Next Earnings Nov 2026 — TipRanks, StockAnalysis,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Morningstar — LOGC Key Statistics: Shares Outstanding 45.73M, Avg Volume ~107K, 52-Week Range $7.05-$11.21, OTC-Traded,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