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LYB</w:t>
      </w:r>
      <w:r>
        <w:rPr>
          <w:rFonts w:ascii="Calibri" w:hAnsi="Calibri"/>
          <w:b/>
          <w:color w:val="1A2010"/>
          <w:sz w:val="40"/>
        </w:rPr>
        <w:t xml:space="preserve">  LyondellBasell Industries N.V.</w:t>
      </w:r>
    </w:p>
    <w:p>
      <w:pPr>
        <w:spacing w:after="120"/>
      </w:pPr>
      <w:r>
        <w:rPr>
          <w:rFonts w:ascii="Calibri" w:hAnsi="Calibri"/>
          <w:b/>
          <w:color w:val="6E8450"/>
          <w:sz w:val="18"/>
        </w:rPr>
        <w:t>DIVIDEND SLEEVE · 2026-08-23 · Inspire: 43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Netherlands</w:t>
      </w:r>
    </w:p>
    <w:p>
      <w:pPr>
        <w:spacing w:after="80"/>
      </w:pPr>
      <w:r>
        <w:rPr>
          <w:rFonts w:ascii="Calibri" w:hAnsi="Calibri"/>
          <w:b w:val="0"/>
          <w:color w:val="3A4A28"/>
          <w:sz w:val="20"/>
        </w:rPr>
        <w:t>LyondellBasell Industries is one of the world's largest plastics, chemicals, and refining companies — the largest producer of polypropylene and a top-three polyethylene producer. Operating across Olefins and Polyolefins (Americas and Europe/Asia), Intermediates and Derivatives, Advanced Polymer Solutions, and Technology segments. CEO Peter Vanacker is executing a strategic transformation: the Houston refinery was shut down in Q1 2025, European O&amp;P assets were divested in Q2 2026 (at a $734M loss), and the company cut its dividend by 50% in early 2026. Q2 2026 revenue recovered to $9.18B (+19.2% YoY) with adjusted EPS of $4.30 (beating $3.33 consensus), driven by unprecedented margin expansion from Middle East conflict supply disruptions.</w:t>
      </w:r>
    </w:p>
    <w:p>
      <w:r>
        <w:rPr>
          <w:rFonts w:ascii="Calibri" w:hAnsi="Calibri"/>
          <w:b/>
          <w:color w:val="6E8450"/>
          <w:sz w:val="18"/>
        </w:rPr>
        <w:t>18,970 Employees · https://www.lyondellbasell.com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LyondellBasell has not launched transformative new products; the business model remains centered on commodity polyolefins and intermediates with no meaningful product pivot in five years [1]. The Houston refinery shutdown (Q1 2025) removed a legacy asset, and the Q2 2026 divestiture of European O&amp;P assets at a $734M loss simplifies the portfolio, but these are restructuring actions, not innovation. MoReTec advanced recycling technology is under development but not yet generating revenue. AI Deployment (1/2): The company partnered with C3 AI for enterprise-wide AI/ML deployment to improve asset optimization, supply chain, and plant reliability, and Emerson's AI-driven automation modernization at the Wesseling complex demonstrates active efficiency deployment [2]. However, these are internal efficiency plays, not customer-facing AI products, and specific cost savings have not been publicly quantified. Market Share (1/2): LYB is the world's largest polypropylene producer and top-three polyethylene producer, maintaining commodity leadership. However, this is commodity leadership with limited pricing power — the Q2 2026 margin expansion was driven by external supply disruptions from the Middle East conflict, not competitive gains [1]. Product Pipeline (1/2): MoReTec advanced recycling, the Circular &amp; Low Carbon Solutions (CLCS) business, and the Houston refinery site conversion to a 'Circular Hub' represent portfolio evolution, but the $1.5B Value Enhancement Program primarily targets EBITDA improvement through cost optimization, not product innovation [1]. The Circular Hub conversion faces community opposition over permitting and public input. R&amp;D Intensity (0/1): Over $350M annual R&amp;D is meaningful in absolute terms but approximately 1.2% of $31B revenue — below average for the chemical sector and insufficient for top-quartile classification.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LyondellBasell's stated purpose — 'To consistently deliver industry-leading performance by safely and reliably delivering high quality products to customers' — is generic and interchangeable with most chemical peers. CEO Vanacker's 'Reinvention is about building a company that can create value through change' is a corporate strategy, not a purpose statement connecting the company's work to something larger [3]. Community Impact (1/2): The 'Advancing Good' global corporate citizenship program operates across three pillars (Communities, Planet, Tomorrow's Workforce), and the company ties 20% of executive compensation to safety metrics and 10% to sustainability [3]. However, specific charitable giving dollar amounts are not publicly disclosed, and the Circular Hub conversion of the Houston refinery is drawing opposition from local environmental groups who want public input on the project's health implications. Employee Retention (1/2): Glassdoor rating of 3.6/5 is industry average. Employees cite good compensation and benefits but flag deteriorating leadership culture, lack of direction, and office politics under current management. CHRO Trisha Conley was specifically brought in as a 'disruptor' to drive culture change, implying recognized cultural issues [2]. Headcount declined 5.15% in 2025. Insider Buying (0/2): CEO Vanacker sold 20,000 shares at $53.57 in August 2025 with zero purchases in the past year — net insider selling signals limited executive conviction [4]. No other executive buying was identified despite the stock trading near multi-year lows.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Q2 2026 marked a significant cyclical recovery — revenue of $9.18B surged 19.2% YoY (scoring 1.0) driven by Middle East conflict supply disruptions boosting petrochemical margins, and adjusted EPS of $4.30 dramatically beat the $3.33 consensus [1]. Forward P/E of 8.44 is deeply discounted (scoring 1.0), reflecting both cyclical recovery expectations and market skepticism about sustainability [4]. D/E of 133% scores 0.73, improved from 141% as the company deleverages through asset sales. ROE of -2.27% and profit margin of -1.13% both score 0.0, still reflecting the trailing net loss of $359M driven by the $734M European asset divestiture charge and decade-low base-period margins [1]. Revenue 5yr CAGR of ~1.7% scores 0.45, reflecting the massive decline from $50.5B (FY2022) peak to current levels. Estimated forward payout ratio of ~35% ($2.76 dividend / ~$8.00 forward EPS) scores 1.0. The critical dividend weakness: the 50% cut (from $1.37 to $0.69/quarter) in early 2026 broke the 14-year growth streak — consecutive years growth scores 0.0 (1x weight), and 5yr dividend growth CAGR of approximately -8% scores 0.0 (2x weight) [4]. Consecutive years paid remains ~15 (1.0, 2x weight). Liquidity floor cleared: $67.53 x 4.3M avg vol = $290M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LyondellBasell plays a mixed game. The strategic pivot — shutting down the Houston refinery, divesting European O&amp;P assets at a $734M loss, and investing in MoReTec circular plastics — shows some long-term thinking about transitioning from commodity petrochemicals toward circular economy. CEO Vanacker's 'Reinvention' thesis earned a CME STEM Leadership Award. However, the 50% dividend cut, CEO selling shares with no purchases, cost-optimization focus ($1.5B VEP), and reliance on Middle East supply disruptions for margin recovery reveal a company managing cyclical distress through finite-game tactics as much as building enduring capability.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LyondellBasell's stated purpose of 'consistently delivering industry-leading performance' is quintessentially finite — it describes winning, not advancing a cause [3]. CEO Vanacker's 'Reinvention' thesis and the emerging circular plastics vision through MoReTec and CLCS hint at a deeper purpose around sustainability, and the Houston refinery closure reduced Scope 1&amp;2 GHG by ~3M metric tons. But this has not been elevated to a company-defining Just Cause — the 50% dividend cut and $1.5B Value Enhancement Program communicate financial survival, not purpose-driven transformation.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3.6/5 reveals adequate but unremarkable trust. Employees cite good compensation and collaboration at lower levels, but multiple reviewers flag deteriorating leadership culture, lack of strategic direction, and office politics [2]. The hiring of a CHRO specifically described as a 'disruptor' to drive culture change confirms leadership recognized trust and cultural issues needing intervention. Headcount declined 5.15% in 2025, and the Houston refinery closure displaced 400+ workers. Safety prioritization (20% of exec comp) is a positive trust indicator.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LyondellBasell's competitive language focuses on North American feedstock cost advantages (cheap natural gas vs. naphtha-based competitors) and market share leadership rather than learning from rivals. Management commentary emphasizes 'competitive advantages' and 'industry-leading performance' rather than acknowledging where competitors like SABIC, Dow, or BASF excel. The Middle East supply disruption windfall in Q2 2026 is framed as a competitive advantage rather than an industry dynamic to learn from.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transformation — shutting down the Houston refinery, divesting four European assets at a $734M loss, investing in MoReTec advanced recycling, and converting the refinery site into a 'Circular and Low Carbon Solutions hub' — represents meaningful portfolio evolution from pure commodity petrochemicals toward circular economy [1]. CEO Vanacker's strategy to simplify and refocus the company is credible. However, these are incremental adaptations within the chemicals industry, not transformative reinvention — LyondellBasell remains fundamentally a commodity polyolefins producer.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Vanacker cut the dividend 50% to preserve capital for the strategic transformation — a painful decision that broke a 14-year growth streak but was arguably necessary for long-term viability [1]. Shutting down the Houston refinery (the city's oldest) and divesting European O&amp;P assets at a $734M loss demonstrate willingness to exit legacy businesses for strategic clarity. However, Vanacker sold 20,000 shares with no purchases while cutting the dividend, undermining the narrative of shared sacrifice [4]. The Q2 2026 earnings beat was driven by external supply disruptions, not strategic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LyondellBasell offers deep cyclical value at 8.44x forward earnings with a 4.09% dividend yield, now backed by tangible earnings recovery — Q2 2026 adjusted EPS of $4.30 dramatically beat the $3.33 consensus as Middle East conflict supply disruptions created unprecedented margin expansion across global petrochemicals [1]. Revenue surged 19.2% YoY to $9.18B with margins strengthening company-wide. The stock has rallied 20% from its June lows to $67.53 but remains well below the $98+ highs, pricing in significant skepticism about earnings sustainability. North American feedstock cost advantages (cheap natural gas vs. naphtha-based competitors) provide structural margin support, and the $1.5B Value Enhancement Program targets recurring EBITDA improvement by 2028 [1]. The strategic simplification — Houston refinery closure reducing GHG by ~3M metric tons, European asset divestitures — creates a more focused chemicals company. The Inspire Impact Score of 43 (ALIGNED) with zero negative attributions is a positive for faith-based investors.</w:t>
      </w:r>
    </w:p>
    <w:p>
      <w:pPr>
        <w:spacing w:after="120"/>
      </w:pPr>
      <w:r>
        <w:rPr>
          <w:rFonts w:ascii="Calibri" w:hAnsi="Calibri"/>
          <w:b w:val="0"/>
          <w:color w:val="3A4A28"/>
          <w:sz w:val="20"/>
        </w:rPr>
        <w:t>The bear case centers on cyclical dependence, dividend deterioration, and governance concerns. The Q2 2026 earnings beat was driven almost entirely by Middle East conflict supply disruptions — a geopolitical windfall, not structural improvement — and margins will compress when supply normalizes [1]. Revenue has collapsed from $50.5B (FY2022) to $31B TTM, a 39% decline reflecting persistent global petrochemical overcapacity from Chinese and Middle Eastern capacity additions. The 50% dividend cut (from $1.37 to $0.69/quarter) broke a 14-year growth streak and signals that management does not expect sustained recovery. The 5yr dividend growth CAGR is approximately -8%, and consecutive years of growth is now zero [4]. CEO Vanacker selling 20,000 shares with zero purchases while cutting the dividend raises governance concerns. ROE of -2.27% and profit margin of -1.13% remain negative on a trailing basis. The $734M loss on European asset divestitures demonstrates the cost of strategic simplification. The Houston refinery Circular Hub conversion faces community opposition from environmental groups demanding public input on health implications, and operational safety concerns persist (La Porte fatal release, Bayport fire, EPA consent decree)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earnings inflection — adjusted EPS of $4.30 beating $3.33 consensus on Middle East supply disruption-driven margin expansion, with continued tightness expected to support H2 2026 pricing [1]</w:t>
      </w:r>
    </w:p>
    <w:p>
      <w:pPr>
        <w:spacing w:before="40" w:after="40"/>
        <w:ind w:left="283"/>
      </w:pPr>
      <w:r>
        <w:rPr>
          <w:rFonts w:ascii="Calibri" w:hAnsi="Calibri"/>
          <w:b/>
          <w:color w:val="4A6B25"/>
          <w:sz w:val="20"/>
        </w:rPr>
        <w:t xml:space="preserve">2. </w:t>
      </w:r>
      <w:r>
        <w:rPr>
          <w:rFonts w:ascii="Calibri" w:hAnsi="Calibri"/>
          <w:b w:val="0"/>
          <w:color w:val="3A4A28"/>
          <w:sz w:val="20"/>
        </w:rPr>
        <w:t>Value Enhancement Program targeting $1.5B recurring annual EBITDA improvement by 2028 through cost optimization, portfolio simplification, and operational efficiency across all segments [1]</w:t>
      </w:r>
    </w:p>
    <w:p>
      <w:pPr>
        <w:spacing w:before="40" w:after="40"/>
        <w:ind w:left="283"/>
      </w:pPr>
      <w:r>
        <w:rPr>
          <w:rFonts w:ascii="Calibri" w:hAnsi="Calibri"/>
          <w:b/>
          <w:color w:val="4A6B25"/>
          <w:sz w:val="20"/>
        </w:rPr>
        <w:t xml:space="preserve">3. </w:t>
      </w:r>
      <w:r>
        <w:rPr>
          <w:rFonts w:ascii="Calibri" w:hAnsi="Calibri"/>
          <w:b w:val="0"/>
          <w:color w:val="3A4A28"/>
          <w:sz w:val="20"/>
        </w:rPr>
        <w:t>Houston refinery site conversion to Circular &amp; Low Carbon hub and MoReTec advanced recycling, potentially creating differentiated revenue from circular plastics with brand-owner premium pricing as regulatory pressure on virgin plastics intensifies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margin dependence — Q2 2026 earnings beat was driven by geopolitical supply disruptions, not structural improvement; margins will compress when Middle East conflict resolves and global petrochemical capacity normalizes [1]</w:t>
      </w:r>
    </w:p>
    <w:p>
      <w:pPr>
        <w:spacing w:before="40" w:after="40"/>
        <w:ind w:left="283"/>
      </w:pPr>
      <w:r>
        <w:rPr>
          <w:rFonts w:ascii="Calibri" w:hAnsi="Calibri"/>
          <w:b/>
          <w:color w:val="4A6B25"/>
          <w:sz w:val="20"/>
        </w:rPr>
        <w:t xml:space="preserve">2. </w:t>
      </w:r>
      <w:r>
        <w:rPr>
          <w:rFonts w:ascii="Calibri" w:hAnsi="Calibri"/>
          <w:b w:val="0"/>
          <w:color w:val="3A4A28"/>
          <w:sz w:val="20"/>
        </w:rPr>
        <w:t>Dividend deterioration — 50% cut broke the 14-year growth streak, 5yr CAGR is -8%, and the $2.76 annual dividend still requires ~$890M at a time when trailing earnings are negative; further cuts possible if the cycle doesn't sustain [4]</w:t>
      </w:r>
    </w:p>
    <w:p>
      <w:pPr>
        <w:spacing w:before="40" w:after="40"/>
        <w:ind w:left="283"/>
      </w:pPr>
      <w:r>
        <w:rPr>
          <w:rFonts w:ascii="Calibri" w:hAnsi="Calibri"/>
          <w:b/>
          <w:color w:val="4A6B25"/>
          <w:sz w:val="20"/>
        </w:rPr>
        <w:t xml:space="preserve">3. </w:t>
      </w:r>
      <w:r>
        <w:rPr>
          <w:rFonts w:ascii="Calibri" w:hAnsi="Calibri"/>
          <w:b w:val="0"/>
          <w:color w:val="3A4A28"/>
          <w:sz w:val="20"/>
        </w:rPr>
        <w:t>Operational and environmental liabilities — La Porte fatal chemical release (2 workers killed), $50M EPA consent decree, Bayport fire, and Circular Hub permitting controversy with community opposition create ongoing regulatory and reputational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LyondellBasell's core business — large-scale petrochemical production, polymer manufacturing, and chemical intermediates — is fundamentally physical and cannot be displaced by AI [2]. Chemical plants require massive capital infrastructure, regulatory permits, deep process engineering, and physical feedstock that AI cannot substitute. The Q2 2026 margin expansion from Middle East supply disruptions demonstrates that physical-world supply constraints, not technology shifts, drive this industry's economics [1]. Analysts have not flagged AI as a disruption risk; the primary threats remain cyclical commodity pricing, feedstock costs, and Asian/Middle Eastern overcapacity. However, AI tools could accelerate competitor R&amp;D in specialty chemicals and new materials, creating indirect competitive pressure. AI Opportunity (0/1): While the C3 AI partnership generates operational efficiencies in asset optimization, supply chain, and plant reliability, LyondellBasell does not generate revenue from AI products or services. The AI deployment is an internal cost reduction tool — the company's revenue comes from chemicals, not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LyondellBasell Q2 2026 Earnings Release — $9.18B revenue (+19.2% YoY), adjusted EPS $4.30 (beat $3.33 consensus), $734M loss on European O&amp;P asset divestiture, Middle East supply disruption margin expansion, July 2026</w:t>
      </w:r>
    </w:p>
    <w:p>
      <w:pPr>
        <w:spacing w:before="20" w:after="20"/>
        <w:ind w:left="170"/>
      </w:pPr>
      <w:r>
        <w:rPr>
          <w:rFonts w:ascii="Calibri" w:hAnsi="Calibri"/>
          <w:b/>
          <w:color w:val="4A6B25"/>
          <w:sz w:val="15"/>
        </w:rPr>
        <w:t xml:space="preserve">2. </w:t>
      </w:r>
      <w:r>
        <w:rPr>
          <w:rFonts w:ascii="Calibri" w:hAnsi="Calibri"/>
          <w:b w:val="0"/>
          <w:color w:val="3A4A28"/>
          <w:sz w:val="17"/>
        </w:rPr>
        <w:t>LyondellBasell AI and Leadership — C3 AI partnership, Emerson automation modernization, CHRO Trisha Conley 'disruptor' hire, CEO Vanacker STEM Leadership Award, Glassdoor 3.6/5, 2025-2026</w:t>
      </w:r>
    </w:p>
    <w:p>
      <w:pPr>
        <w:spacing w:before="20" w:after="20"/>
        <w:ind w:left="170"/>
      </w:pPr>
      <w:r>
        <w:rPr>
          <w:rFonts w:ascii="Calibri" w:hAnsi="Calibri"/>
          <w:b/>
          <w:color w:val="4A6B25"/>
          <w:sz w:val="15"/>
        </w:rPr>
        <w:t xml:space="preserve">3. </w:t>
      </w:r>
      <w:r>
        <w:rPr>
          <w:rFonts w:ascii="Calibri" w:hAnsi="Calibri"/>
          <w:b w:val="0"/>
          <w:color w:val="3A4A28"/>
          <w:sz w:val="17"/>
        </w:rPr>
        <w:t>LyondellBasell ESG and Environmental — Houston refinery Circular Hub conversion controversy, GHG reduction ~3M metric tons Scope 1&amp;2, La Porte fatal release, EPA consent decree, community opposition to permitting, Houston Chronicle / EHN / Planet Tracker,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LYB Key Statistics: Forward P/E 8.44x, ROE -2.27%, Profit Margin -1.13%, D/E 133%, Dividend Yield 4.09%, 50% dividend cut, Stock Price $67.53,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