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MDLZ</w:t>
      </w:r>
      <w:r>
        <w:rPr>
          <w:rFonts w:ascii="Calibri" w:hAnsi="Calibri"/>
          <w:b/>
          <w:color w:val="1A2010"/>
          <w:sz w:val="40"/>
        </w:rPr>
        <w:t xml:space="preserve">  Mondelez International, Inc.</w:t>
      </w:r>
    </w:p>
    <w:p>
      <w:pPr>
        <w:spacing w:after="120"/>
      </w:pPr>
      <w:r>
        <w:rPr>
          <w:rFonts w:ascii="Calibri" w:hAnsi="Calibri"/>
          <w:b/>
          <w:color w:val="6E8450"/>
          <w:sz w:val="18"/>
        </w:rPr>
        <w:t>DIVIDEND SLEEVE · 2026-08-17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Confectioners · NASDAQ · United States</w:t>
      </w:r>
    </w:p>
    <w:p>
      <w:pPr>
        <w:spacing w:after="80"/>
      </w:pPr>
      <w:r>
        <w:rPr>
          <w:rFonts w:ascii="Calibri" w:hAnsi="Calibri"/>
          <w:b w:val="0"/>
          <w:color w:val="3A4A28"/>
          <w:sz w:val="20"/>
        </w:rPr>
        <w:t>Mondelez International is a global snacking leader with approximately $39.7B in trailing twelve-month revenue across 150 countries. The company owns iconic brands including Oreo, Cadbury, Milka, Toblerone, Ritz, CLIF Bar, and Tate's Bake Shop. Q2 2026 revenue grew 4.1% YoY to $9.36B with organic growth of 2.2%, as cocoa prices have fallen approximately 60% from their January 2025 peak. Mondelez deploys AI across marketing (AIDA generative AI tool), supply chain, and distribution, with digital commerce representing more than $3.5B in business.</w:t>
      </w:r>
    </w:p>
    <w:p>
      <w:r>
        <w:rPr>
          <w:rFonts w:ascii="Calibri" w:hAnsi="Calibri"/>
          <w:b/>
          <w:color w:val="6E8450"/>
          <w:sz w:val="18"/>
        </w:rPr>
        <w:t>91,000 Employees · https://www.mondelezinternational.com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Mondelez operates in a mature confectionery market where innovation is primarily incremental — flavor extensions, packaging redesigns, and portfolio acquisitions (CLIF Bar, Tate's Bake Shop) rather than transformative business model changes [1]. Q2 2026 revenue of $9.36B grew 4.1% YoY with organic growth of 2.2%, driven largely by emerging market distribution expansion and pricing rather than product innovation. The company is pursuing growth in the $97B cakes and pastries category. AI Deployment (1/2): Mondelez created AIDA (AI + Data), a generative AI tool for personalized advertising across Oreo, Chips Ahoy!, Ritz, and Perfect Bar brands, expecting to cut marketing content creation costs by up to 50% [2]. AI-powered distribution centers serve 55 branches with faster delivery, Digital Twin technology optimizes manufacturing, and the company is preparing for agentic commerce with 30% of retail partner site traffic anticipated from AI agents by 2028 [2]. Market Share (1/2): Global leadership in biscuits and baked snacks (Oreo is the world's best-selling cookie) and strong chocolate positions (Cadbury, Milka), but operates in a fragmented market against Nestle, Mars, Hershey, and growing private label competition [1]. Product Pipeline (1/2): Pipeline includes AIDA generative AI platform, agentic commerce readiness, and automation at up to five distribution centers with benefits expected from early 2027 [2]. R&amp;D Intensity (1/1): R&amp;D investment includes the CoLab Tech accelerator identifying climate, packaging, and consumer pressure points, plus AI and digital commerce platforms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Mondelez's mission to 'Empower people to snack right' and vision to 'Lead the future of snacking' are clear and commercially focused but not deeply inspirational — they describe what the company does for consumers without articulating a broader societal purpose [3]. Community Impact (1/2): Mondelez has invested over $1B in its Cocoa Life program over a decade, though the program's effectiveness is undermined by class-action lawsuits alleging child labor in cocoa supply chains and RAN's 'F' grade on deforestation — the scale of investment demonstrates commitment, but the gap between stated goals and outcomes reduces credibility [3]. Employee Retention (1/2): Mondelez's 91,000-person global workforce operates under CEO Dirk Van de Put's leadership with an emphasis on open dialogue, collaboration, and continuous growth. The company culture is described as high-performance with integrity, but specific tenure or turnover data is not publicly available [2]. Insider Buying (1/2): Insider transaction data shows routine Form 4 filings from directors and senior executives with no prominent net insider buying or exceptional conviction purchases identified. The largest shareholders are institutional — Vanguard, BlackRock, and State Street.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D/E of 82.6% scores 0.95 [4]. ROE improved to 13.3% from 10.2% as cocoa cost headwinds eased, scoring 0.89 [4]. Revenue growth YoY of 4.1% scores 0.80 [1]. Revenue growth 5yr CAGR of approximately 6% scores 0.73. Forward P/E of 20.09 scores 1.0 (just below the 20 target boundary) [4]. Profit margin improved to 8.9% from 6.6% as GAAP earnings recovered on derivative gains, scoring 0.44 [4]. The most significant improvement is payout ratio, which declined from 97.5% to approximately 73% as trailing EPS recovered — scoring 0.45 vs the prior 0.04, a 10x improvement at 1x weight [4]. Consecutive years paid of 26 scores 1.0 (2x weight). Consecutive years growth of 12 scores 1.0 (1x weight). 5yr dividend growth CAGR of approximately 9% scores 1.0 (2x weight). Weighted sum: 0.95+0.89+0.80+0.73+1.0+0.44+0.45+(2x1.0)+1.0+(2x1.0) = 10.26. Max 12. Score: 10.26/12 x 10 = 8.55, rounds to 9. Daily dollar volume of ~$546M provides excellent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Mondelez demonstrates mixed characteristics but falls short of infinite-game status. The stewardship of century-old brands (Cadbury since 1824, Oreo since 1912) and the 2012 Kraft Foods spin-off reflect long-term strategic thinking. However, the persistent failure to eliminate child labor in cocoa supply chains — despite $1B in Cocoa Life investment over a decade, class-action lawsuits, and a 74% shareholder vote demanding action — reveals a gap between stated purpose and decisive action that Sinek would identify as a failure of courage.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'Empower people to snack right' and 'Lead the future of snacking' are corporate platitudes, not a Just Cause in Sinek's framework [3]. The mission does not describe a future state so appealing that people would sacrifice to advance it. The company's most distinctive contribution — stewarding beloved brands that bring joy to billions — is real but not articulated as a transcendent purpose. The child labor allegations and deforestation in cocoa supply chains further undermine any cause claim.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Mondelez's leadership culture emphasizes approachability, integrity, and open dialogue, with CEO Van de Put leading with a multi-year strategic vision balancing growth investment with shareholder returns [2]. The 91,000-person global workforce benefits from established consumer goods career paths. However, the disconnect between corporate sustainability messaging and supply chain reality — $1B Cocoa Life investment coexisting with child labor lawsuits — creates internal tension that undermines organizational trust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Mondelez actively studies Nestle, Mars, Hershey, and private label competitors, learning from their strategies. The 2012 Kraft Foods spin-off was a direct response to competitive dynamics — creating a focused snacking company to compete more effectively against global peers [1]. The company's emerging market strategy (40% of revenue, 80% international) was informed by watching competitors' success in developing markets, and the AI/digital commerce push was accelerated by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2012 spin-off from Kraft Foods demonstrated significant existential flexibility, creating a focused global snacking company from a diversified American food conglomerate [1]. Ongoing portfolio optimization — acquiring premium brands (CLIF Bar, Tate's Bake Shop), expanding into the $97B cakes and pastries category, and investing in AI-powered distribution — shows continued strategic agility. However, the core business model of branded snacking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Mondelez has invested $1B in Cocoa Life over a decade but has not eliminated child labor from its supply chains, received RAN's 'F' grade on deforestation, and faces class-action lawsuits alleging greenwashing [3]. A 74% shareholder vote demanded child labor elimination, yet the company's response has been incremental rather than decisive. Sinek would view this as a definitive failure of courage — the company knows what its cause demands but consistently chooses the path of least resistance. The AI and digital commerce investments are proactive but the most consequential test of leadership courage remains unmet.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Mondelez offers a compelling 3.34% dividend yield at a forward P/E of 20.09x, backed by a world-class portfolio of snacking brands generating $39.7B in trailing revenue across 150 countries [1][4]. The dividend has grown at a ~9% 5yr CAGR — well above inflation — with 12 consecutive years of increases and 26 consecutive years of payments. Q2 2026 revenue grew 4.1% YoY with organic growth of 2.2%, and full-year 2026 organic guidance was raised to 'at least +2%,' signaling management confidence in recovery [1]. The most critical development is the ~60% decline in cocoa prices from their January 2025 peak, which is poised to restore gross margins from their compressed levels — Q2 2026 gross margin already recovered to 42.6%, up 9.9 percentage points YoY [1]. The payout ratio has improved from 97.5% to 73%, materially strengthening dividend sustainability. Mondelez's proactive AI strategy — AIDA cutting marketing costs 50%, AI distribution centers, agentic commerce preparation — positions the company ahead of consumer staples peers in technology adoption [2].</w:t>
      </w:r>
    </w:p>
    <w:p>
      <w:pPr>
        <w:spacing w:after="120"/>
      </w:pPr>
      <w:r>
        <w:rPr>
          <w:rFonts w:ascii="Calibri" w:hAnsi="Calibri"/>
          <w:b w:val="0"/>
          <w:color w:val="3A4A28"/>
          <w:sz w:val="20"/>
        </w:rPr>
        <w:t>The bear case centers on modest growth and unresolved supply chain controversies. Full-year 2026 guidance of 'at least +2%' organic revenue growth and flat-to-5% adjusted EPS growth on a constant currency basis reflects a cautious near-term outlook, with greater-than-usual volatility from geopolitical, trade, and commodity pressures [1]. The trailing P/E of 38.86x reflects GAAP earnings distorted by derivative impacts, and the forward P/E of 20.09x is 40% above the consumer packaged goods industry median of 14.32x, leaving limited margin of safety [4]. Child labor and deforestation controversies — class-action lawsuits, RAN's 'F' grade, and greenwashing allegations — create growing legal liability and reputational risk, particularly as EU deforestation regulations take effect [3]. D/E of 82.6% limits financial flexibility, and consumer trade-down to private label snacking remains an ongoing risk as AI-optimized store brands improve quality while maintaining price advantages. The 2.2% organic growth rate in Q2 lags the broader food industry, raising questions about whether Mondelez's pricing power has peaked.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Cocoa price normalization — futures down ~60% from January 2025 peak — poised to restore profit margins toward historical 12-15% range from current 8.9%, dramatically improving earnings power and reducing the payout ratio below 60% [1]</w:t>
      </w:r>
    </w:p>
    <w:p>
      <w:pPr>
        <w:spacing w:before="40" w:after="40"/>
        <w:ind w:left="283"/>
      </w:pPr>
      <w:r>
        <w:rPr>
          <w:rFonts w:ascii="Calibri" w:hAnsi="Calibri"/>
          <w:b/>
          <w:color w:val="4A6B25"/>
          <w:sz w:val="20"/>
        </w:rPr>
        <w:t xml:space="preserve">2. </w:t>
      </w:r>
      <w:r>
        <w:rPr>
          <w:rFonts w:ascii="Calibri" w:hAnsi="Calibri"/>
          <w:b w:val="0"/>
          <w:color w:val="3A4A28"/>
          <w:sz w:val="20"/>
        </w:rPr>
        <w:t>Emerging market volume growth accelerating as per-capita snacking consumption increases in India, Southeast Asia, and Latin America, leveraging the 40% emerging market revenue base with 4.4% Q2 top-line growth in these regions [1]</w:t>
      </w:r>
    </w:p>
    <w:p>
      <w:pPr>
        <w:spacing w:before="40" w:after="40"/>
        <w:ind w:left="283"/>
      </w:pPr>
      <w:r>
        <w:rPr>
          <w:rFonts w:ascii="Calibri" w:hAnsi="Calibri"/>
          <w:b/>
          <w:color w:val="4A6B25"/>
          <w:sz w:val="20"/>
        </w:rPr>
        <w:t xml:space="preserve">3. </w:t>
      </w:r>
      <w:r>
        <w:rPr>
          <w:rFonts w:ascii="Calibri" w:hAnsi="Calibri"/>
          <w:b w:val="0"/>
          <w:color w:val="3A4A28"/>
          <w:sz w:val="20"/>
        </w:rPr>
        <w:t>AI-driven commerce transformation with AIDA generative AI cutting marketing costs 50%, distribution center automation expected to yield benefits from early 2027, and agentic commerce readiness for 30% AI agent traffic by 2028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only 2.2% in Q2 and 'at least +2%' full-year guidance suggests Mondelez is approaching the limits of pricing-driven growth, with volume recovery uncertain amid consumer trade-down to private label alternatives [1]</w:t>
      </w:r>
    </w:p>
    <w:p>
      <w:pPr>
        <w:spacing w:before="40" w:after="40"/>
        <w:ind w:left="283"/>
      </w:pPr>
      <w:r>
        <w:rPr>
          <w:rFonts w:ascii="Calibri" w:hAnsi="Calibri"/>
          <w:b/>
          <w:color w:val="4A6B25"/>
          <w:sz w:val="20"/>
        </w:rPr>
        <w:t xml:space="preserve">2. </w:t>
      </w:r>
      <w:r>
        <w:rPr>
          <w:rFonts w:ascii="Calibri" w:hAnsi="Calibri"/>
          <w:b w:val="0"/>
          <w:color w:val="3A4A28"/>
          <w:sz w:val="20"/>
        </w:rPr>
        <w:t>ESG litigation escalation — class-action lawsuits alleging child labor and greenwashing, RAN's 'F' deforestation grade, and EU deforestation regulations could result in significant settlements, compliance costs, and supply chain disruption [3]</w:t>
      </w:r>
    </w:p>
    <w:p>
      <w:pPr>
        <w:spacing w:before="40" w:after="40"/>
        <w:ind w:left="283"/>
      </w:pPr>
      <w:r>
        <w:rPr>
          <w:rFonts w:ascii="Calibri" w:hAnsi="Calibri"/>
          <w:b/>
          <w:color w:val="4A6B25"/>
          <w:sz w:val="20"/>
        </w:rPr>
        <w:t xml:space="preserve">3. </w:t>
      </w:r>
      <w:r>
        <w:rPr>
          <w:rFonts w:ascii="Calibri" w:hAnsi="Calibri"/>
          <w:b w:val="0"/>
          <w:color w:val="3A4A28"/>
          <w:sz w:val="20"/>
        </w:rPr>
        <w:t>Forward P/E of 20.09x at 40% premium to industry median leaves limited margin of safety if organic growth disappoints or cocoa prices re-accelerate, particularly with D/E of 82.6% constraining financial flexibility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Mondelez's core business — manufacturing, distributing, and selling physical snack products — is structurally immune to AI disruption. Consumers cannot digitize the experience of eating an Oreo or Cadbury chocolate bar, and the physical manufacturing, global supply chain, and retail distribution infrastructure cannot be replaced by software [1]. The company's century-old brand equity (Cadbury since 1824, Oreo since 1912) creates consumer loyalty moats that AI cannot erode. However, AI-powered personalized nutrition and direct-to-consumer platforms could modestly shift consumer behavior, and AI-driven private label optimization could increase competitive pressure on branded snacks. AI Opportunity (1/1): Mondelez generates measurable value from AI deployment — the AIDA generative AI tool cuts marketing content costs by up to 50%, AI-powered distribution centers optimize 55 branches, Digital Twin technology simulates manufacturing processes, and the company is preparing for agentic commerce with 30% AI agent traffic anticipated by 2028 [2]. The $3.5B digital commerce business leverages AI for personalization across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Mondelez International Q2 2026 Results — Revenue $9,355M (+4.1%), Organic Growth 2.2%, Gross Margin 42.6% (+9.9pp), Cocoa Prices Down ~60% from Peak, 2026 Outlook Raised to At Least +2% Organic, July 2026</w:t>
      </w:r>
    </w:p>
    <w:p>
      <w:pPr>
        <w:spacing w:before="20" w:after="20"/>
        <w:ind w:left="170"/>
      </w:pPr>
      <w:r>
        <w:rPr>
          <w:rFonts w:ascii="Calibri" w:hAnsi="Calibri"/>
          <w:b/>
          <w:color w:val="4A6B25"/>
          <w:sz w:val="15"/>
        </w:rPr>
        <w:t xml:space="preserve">2. </w:t>
      </w:r>
      <w:r>
        <w:rPr>
          <w:rFonts w:ascii="Calibri" w:hAnsi="Calibri"/>
          <w:b w:val="0"/>
          <w:color w:val="3A4A28"/>
          <w:sz w:val="17"/>
        </w:rPr>
        <w:t>Mondelez International AI Strategy — AIDA Generative AI Tool, AI Distribution Centers (55 Branches), Digital Twin Manufacturing, Agentic Commerce, Supply Chain Automation Expected 2027, 2025-2026</w:t>
      </w:r>
    </w:p>
    <w:p>
      <w:pPr>
        <w:spacing w:before="20" w:after="20"/>
        <w:ind w:left="170"/>
      </w:pPr>
      <w:r>
        <w:rPr>
          <w:rFonts w:ascii="Calibri" w:hAnsi="Calibri"/>
          <w:b/>
          <w:color w:val="4A6B25"/>
          <w:sz w:val="15"/>
        </w:rPr>
        <w:t xml:space="preserve">3. </w:t>
      </w:r>
      <w:r>
        <w:rPr>
          <w:rFonts w:ascii="Calibri" w:hAnsi="Calibri"/>
          <w:b w:val="0"/>
          <w:color w:val="3A4A28"/>
          <w:sz w:val="17"/>
        </w:rPr>
        <w:t>Mondelez International ESG and Supply Chain — Cocoa Life $1B Program, RAN Deforestation Grade 'F', Child Labor Lawsuits, Class-Action Greenwashing Allegations,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MDLZ Key Statistics: Forward P/E 20.09x, ROE 13.31%, D/E 82.64%, Stock Price $63.61,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