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OCGN</w:t>
      </w:r>
      <w:r>
        <w:rPr>
          <w:rFonts w:ascii="Calibri" w:hAnsi="Calibri"/>
          <w:b/>
          <w:color w:val="1A2010"/>
          <w:sz w:val="40"/>
        </w:rPr>
        <w:t xml:space="preserve">  Ocugen, Inc.</w:t>
      </w:r>
    </w:p>
    <w:p>
      <w:pPr>
        <w:spacing w:after="120"/>
      </w:pPr>
      <w:r>
        <w:rPr>
          <w:rFonts w:ascii="Calibri" w:hAnsi="Calibri"/>
          <w:b/>
          <w:color w:val="6E8450"/>
          <w:sz w:val="18"/>
        </w:rPr>
        <w:t>GROWTH SLEEVE · 2026-08-23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Ocugen is a clinical-stage biopharmaceutical company developing gene and cell therapies for retinal diseases including retinitis pigmentosa, Leber congenital amaurosis, Stargardt disease, and dry age-related macular degeneration. The modifier gene therapy platform is designed to address multiple genetic mutations with a single therapy. Q2 2026 revenue of $1.49M (+8.4% YoY) from collaboration and grant funding, with $100.4M cash on hand after closing a $130M convertible senior notes offering. Formerly pursued Covaxin COVID-19 vaccine with Bharat Biotech before refocusing on ophthalmology gene therapy.</w:t>
      </w:r>
    </w:p>
    <w:p>
      <w:r>
        <w:rPr>
          <w:rFonts w:ascii="Calibri" w:hAnsi="Calibri"/>
          <w:b/>
          <w:color w:val="6E8450"/>
          <w:sz w:val="18"/>
        </w:rPr>
        <w:t>116 Employees · https://www.ocugen.com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Ocugen has pivoted multiple times in five years — from the Histogen merger (stem cell therapies) to COVID-19 vaccine commercialization (Covaxin with Bharat Biotech) and now to modifier gene therapy for retinal diseases [1]. The Covaxin effort failed commercially without achieving FDA approval, and no product has reached commercialization after 12+ years of development. The gene therapy platform is genuinely novel but unproven commercially. AI Deployment (0/2): No AI-powered products shipping and no AI-driven cost savings reported; the company has not articulated an AI strategy [2]. Market Share (0/2): Ocugen has no commercial products and zero market share in any category, remaining entirely pre-commercial with all candidates in clinical development [1]. Product Pipeline (1/2): OCU400 Phase 3 liMeliGhT trial enrollment complete (140 patients) with topline data expected Q1 2027, OCU410 targets geographic atrophy/dry AMD, OCU410ST in Phase 2/3 GARDian3 trial for Stargardt disease [1]. Pipeline has specific candidates but all remain subject to clinical trial outcomes with no FDA filing yet made. R&amp;D Intensity (1/1): R&amp;D spending constitutes the vast majority of $17.9M quarterly operating expenses against just $1.49M revenue, placing R&amp;D intensity far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Ocugen's stated purpose — curing blindness through courageous innovation in gene therapy — is clear and specific, connecting the company's work to a meaningful humanitarian goal [2]. However, the mission has not been validated through sustained execution; the company's frequent strategic pivots (stem cells to COVID vaccines to gene therapy) undermine the sense that this cause has been consistently lived over time. Community Impact (0/2): No evidence of significant charitable programs, community investments, or foundation activities was identified. As a 116-person pre-revenue biotech, resources for community engagement are limited. Employee Retention (0/2): Glassdoor rating of 2.7/5 is 23% below the pharmaceutical industry average, with employee reviews citing 'poor culture and leadership' and 'no transparency from upper management' [3]. This signals retention challenges rather than mission-driven loyalty. Insider Buying (0/2): No evidence of meaningful net insider buying by CEO Shankar Musunuri or other executives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Ocugen's financial profile reflects a clinical-stage biotech burning cash with minimal revenue. D/E of 574% scores 0 (far above 300% floor), driven by the $130M convertible senior notes [1]. ROE of -660% scores 0 (deeply negative, below 0% floor). Profit margin is approximately -1603% ($4.47M TTM revenue against -$71.67M net loss), scoring 0. The only positive component is revenue growth YoY of 8.4% (Q2 2026), scoring 0.95 [1]. Forward P/E, PEG ratio, and 5-year revenue CAGR are unavailable for a pre-commercial biotech. Cash position improved to $100.4M after the convertible notes closing, extending runway into 2028 [1]. Liquidity floor cleared at approximately $10.1M daily dollar volume (7M shares x $1.44).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Ocugen displays a largely finite game posture despite an inherently purposeful mission of curing blindness. The company has pivoted strategy three times in five years (stem cells, COVID vaccines, gene therapy), suggesting opportunistic decision-making rather than a consistent Just Cause guiding long-term strategy. Glassdoor reviews at 2.7/5 indicate significant cultural challenges. The gene therapy focus shows some conviction, but the pattern of pivots, weak employee culture, and finite competitive language place the company firmly in the FINITE category under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Curing blindness through gene therapy is a compelling purpose, but Ocugen's track record suggests the cause is more recent positioning than deeply held conviction [1]. The company pursued COVID vaccine commercialization (Covaxin) as a primary strategy in 2021-2022, pivoting to gene therapy only after that effort failed. CEO Musunuri's stated goal to 'bring gene therapy to the masses' is aspirational but has not been tested through sustained execution. A genuine Just Cause would have persisted through market cycles; Ocugen's pivots suggest strategy follows opportunity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 with reviews citing 'poor culture and leadership' and 'too much mysterious upper management with no transparency' indicates a low-trust environment [3]. For a 116-person company where employees should have direct access to leadership, these signals are particularly concerning. The culture rating of 2.5/5 and only 39% employee recommendation rate fall well below the pharmaceutical industry average, suggesting Sinek's Circle of Safety has not been established.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Ocugen's leadership acknowledging competitors' strengths or framing competition as motivation for self-improvement. The company's competitive language centers on its own 'first-in-industry' gene-agnostic positioning rather than engaging with what Spark Therapeutics/Roche (Luxturna), AGTC, or GenSight do well [1]. This 'we are unique' framing reflects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Ocugen has demonstrated willingness to abandon failing strategies — pivoting from Covaxin COVID-19 vaccine commercialization to gene therapy for retinal diseases when the vaccine path proved unviable [1]. This represents meaningful strategic adaptation. However, the pivot was driven by necessity (Covaxin never received FDA approval) rather than a proactive, cause-driven decision. The change was a lateral move from one biotech focus to another, not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Musunuri has maintained focus on the gene therapy pipeline through 12+ years of pre-revenue operations, investing heavily in R&amp;D despite minimal revenue and sustained stock decline [1]. The $130M convertible notes offering to extend cash runway into 2028 shows willingness to accept debt and dilution risk to fund long-term R&amp;D rather than abandoning the strategy. However, no pattern of multiple principled decisions was identified; these actions appear pragmatic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Ocugen's modifier gene therapy platform represents a genuinely innovative gene-agnostic approach to treating inherited retinal diseases — a single therapy (OCU400) addressing multiple genetic mutations, potentially first-in-class [1]. The OCU400 Phase 3 liMeliGhT trial enrollment is complete (140 patients) with topline data expected Q1 2027, representing the key near-term catalyst. Cash position of $100.4M after the $130M convertible notes offering extends runway into 2028, removing the near-term financing overhang [1]. Gene therapies command $1-4M per patient pricing, meaning even modest market penetration across retinitis pigmentosa, Stargardt disease, and dry AMD indications could generate transformative revenue. Analysts maintain a consensus Strong Buy rating with a $9.50-$12.17 price target, implying 560-745% upside from the $1.44 share price.</w:t>
      </w:r>
    </w:p>
    <w:p>
      <w:pPr>
        <w:spacing w:after="120"/>
      </w:pPr>
      <w:r>
        <w:rPr>
          <w:rFonts w:ascii="Calibri" w:hAnsi="Calibri"/>
          <w:b w:val="0"/>
          <w:color w:val="3A4A28"/>
          <w:sz w:val="20"/>
        </w:rPr>
        <w:t>The bear case is substantial for a pre-commercial biotech with $4.47M TTM revenue against approximately $70M annual cash burn [1]. The 574% D/E ratio reflects $130M in convertible debt (6.75% coupon) creating meaningful interest expense and future dilution risk on a $200M market cap company. Binary clinical risk dominates: Phase 3 failure for OCU400 would be devastating given the concentrated pipeline. Glassdoor rating of 2.7/5 with only 39% employee recommendation and complaints about management transparency signal organizational dysfunction in a 116-person company where every employee matters for clinical execution [3]. The stock at $1.44 carries NASDAQ minimum bid compliance risk, and the company's history of strategic pivots (Histogen, Covaxin, gene therapy) raises execution credibility concerns. ROE of -660% and profit margin of -1603% reflect a financial profile incompatible with near-term profitability. The Inspire ALIGNED score (30) is a positive for faith-based investors but does not offset the fundamental financial and clinical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OCU400 Phase 3 liMeliGhT trial topline data readout expected Q1 2027 — the pivotal binary catalyst that could validate the gene-agnostic platform and unlock BLA filing for inherited retinal diseases [1]</w:t>
      </w:r>
    </w:p>
    <w:p>
      <w:pPr>
        <w:spacing w:before="40" w:after="40"/>
        <w:ind w:left="283"/>
      </w:pPr>
      <w:r>
        <w:rPr>
          <w:rFonts w:ascii="Calibri" w:hAnsi="Calibri"/>
          <w:b/>
          <w:color w:val="4A6B25"/>
          <w:sz w:val="20"/>
        </w:rPr>
        <w:t xml:space="preserve">2. </w:t>
      </w:r>
      <w:r>
        <w:rPr>
          <w:rFonts w:ascii="Calibri" w:hAnsi="Calibri"/>
          <w:b w:val="0"/>
          <w:color w:val="3A4A28"/>
          <w:sz w:val="20"/>
        </w:rPr>
        <w:t>OCU410ST Phase 2/3 GARDian3 trial for Stargardt disease progressing, targeting a condition with zero FDA-approved treatments, potentially expanding the addressable market beyond rare retinitis pigmentosa [1]</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into 2028 via $130M convertible notes with $100.4M on hand, eliminating near-term survival financing risk and allowing management to focus on clinical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trial risk — OCU400 failure would devastate the investment thesis given that virtually all of the company's $200M market cap is pipeline value with zero commercial revenue streams [1]</w:t>
      </w:r>
    </w:p>
    <w:p>
      <w:pPr>
        <w:spacing w:before="40" w:after="40"/>
        <w:ind w:left="283"/>
      </w:pPr>
      <w:r>
        <w:rPr>
          <w:rFonts w:ascii="Calibri" w:hAnsi="Calibri"/>
          <w:b/>
          <w:color w:val="4A6B25"/>
          <w:sz w:val="20"/>
        </w:rPr>
        <w:t xml:space="preserve">2. </w:t>
      </w:r>
      <w:r>
        <w:rPr>
          <w:rFonts w:ascii="Calibri" w:hAnsi="Calibri"/>
          <w:b w:val="0"/>
          <w:color w:val="3A4A28"/>
          <w:sz w:val="20"/>
        </w:rPr>
        <w:t>The $130M convertible notes (6.75%, due 2034) create $8.8M annual interest expense on a company burning ~$70M per year, and conversion at depressed stock prices would be massively dilutive to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evidenced by 2.7/5 Glassdoor rating and 2.5/5 culture score in a 116-person company — clinical execution risk is amplified when a small team operates in a low-trust environment with reported lack of management transparency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Ocugen's core business — developing gene therapies for inherited retinal diseases — operates in a domain with strong structural protection from AI disruption [2]. Gene therapy requires physical manufacturing of viral vectors, clinical trial execution with human subjects, FDA regulatory approval pathways, and surgical subretinal injection delivery. These are deeply physical, biological, and regulated processes where AI serves as a tool (drug discovery acceleration, clinical data analysis) rather than a substitute. The regulatory moat (orphan drug designations, FDA biologics pathways) provides additional protection. However, AI-driven drug discovery platforms at larger competitors could accelerate rival gene therapy development, compressing Ocugen's window for first-mover advantage. Scored PROTECTED rather than IMMUNE because the company is not building AI infrastructure and doesn't directly benefit from AI demand growth. AI Opportunity (0/1): Ocugen generates no revenue from AI products or services and has not disclosed any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Ocugen Q2 2026 Business Update and Financial Results — Revenue $1.49M (+8.4% YoY), Operating Expenses $17.9M, Cash $100.4M, $130M Convertible Notes Closed, August 2026</w:t>
      </w:r>
    </w:p>
    <w:p>
      <w:pPr>
        <w:spacing w:before="20" w:after="20"/>
        <w:ind w:left="170"/>
      </w:pPr>
      <w:r>
        <w:rPr>
          <w:rFonts w:ascii="Calibri" w:hAnsi="Calibri"/>
          <w:b/>
          <w:color w:val="4A6B25"/>
          <w:sz w:val="15"/>
        </w:rPr>
        <w:t xml:space="preserve">2. </w:t>
      </w:r>
      <w:r>
        <w:rPr>
          <w:rFonts w:ascii="Calibri" w:hAnsi="Calibri"/>
          <w:b w:val="0"/>
          <w:color w:val="3A4A28"/>
          <w:sz w:val="17"/>
        </w:rPr>
        <w:t>Ocugen Corporate Website and SEC Filings — Modifier Gene Therapy Platform, Pipeline (OCU400 Phase 3, OCU410, OCU410ST), D/E 574%, ROE -660%,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Ocugen Reviews — 2.7/5 Rating (23 Reviews), Culture 2.5/5, 39% Recommend, Employee Complaints About Management Transparency,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