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ONON</w:t>
      </w:r>
      <w:r>
        <w:rPr>
          <w:rFonts w:ascii="Calibri" w:hAnsi="Calibri"/>
          <w:b/>
          <w:color w:val="1A2010"/>
          <w:sz w:val="40"/>
        </w:rPr>
        <w:t xml:space="preserve">  On Holding AG</w:t>
      </w:r>
    </w:p>
    <w:p>
      <w:pPr>
        <w:spacing w:after="120"/>
      </w:pPr>
      <w:r>
        <w:rPr>
          <w:rFonts w:ascii="Calibri" w:hAnsi="Calibri"/>
          <w:b/>
          <w:color w:val="6E8450"/>
          <w:sz w:val="18"/>
        </w:rPr>
        <w:t>GROWTH SLEEVE · 2026-08-26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NYSE · Switzerland</w:t>
      </w:r>
    </w:p>
    <w:p>
      <w:pPr>
        <w:spacing w:after="80"/>
      </w:pPr>
      <w:r>
        <w:rPr>
          <w:rFonts w:ascii="Calibri" w:hAnsi="Calibri"/>
          <w:b w:val="0"/>
          <w:color w:val="3A4A28"/>
          <w:sz w:val="20"/>
        </w:rPr>
        <w:t>On Holding, founded in 2010 in Zurich, designs and distributes performance running footwear, apparel, and accessories under the On brand, sold through wholesale, direct-to-consumer, owned retail, and e-commerce channels globally. The company reported Q2 2026 net sales of CHF 850.3 million (+21.6% constant currency) with a record 65.4% gross margin, and returned to a founder-led Co-CEO structure (David Allemann and Caspar Coppetti) in March 2026 after Martin Hoffmann's 13-year tenure as CEO [1][2]. On is investing heavily in its robotic LightSpray manufacturing technology, including a dedicated South Korea factory, while deliberately managing wholesale sell-in to protect the launch runway for upcoming product innovations.</w:t>
      </w:r>
    </w:p>
    <w:p>
      <w:r>
        <w:rPr>
          <w:rFonts w:ascii="Calibri" w:hAnsi="Calibri"/>
          <w:b/>
          <w:color w:val="6E8450"/>
          <w:sz w:val="18"/>
        </w:rPr>
        <w:t>3,963 Employees · https://www.on.com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On's LightSpray robotic manufacturing platform — a novel 3D robotic-spray shoe construction process now scaling through a dedicated South Korea factory — represents a genuine manufacturing innovation launched and scaling within the last five years, alongside continued market share gains from legacy incumbents Nike and Adidas [2]. AI Deployment (1/2): LightSpray increases robotics and automation in production, but available research does not confirm this as explicitly AI-driven (versus robotic/automated), and no quantified AI-specific cost savings or AI product features were cited. Market Share (2/2): Analysts and coverage explicitly describe On as 'taking market share from legacy competitors such as Nike and Adidas,' backed by 21.6% constant-currency Q2 2026 revenue growth against a backdrop of flat-to-declining incumbent sales [2]. Product Pipeline (1/2): Management referenced 'upcoming breakthrough innovations' and deliberately throttled wholesale sell-in to protect a 'clean runway' for these launches, but did not disclose specific product names or launch dates [1]. R&amp;D Intensity (0/1): No R&amp;D-to-revenue figure or industry comparison was found in available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On's stated purpose — to 'ignite the human spirit through movement' — is specific and thoughtful, connecting the brand to something beyond selling shoes, and is consistently reflected in product design philosophy and marketing across the company's history since 2010. Community Impact (0/2): No evidence of a distinctive corporate foundation, charitable program, or community investment with specific figures was found in research. Employee Retention (0/2): No tenure or turnover data is available for On's roughly 4,000-person workforce; the March 2026 CEO transition (Hoffmann departing after 13 years) is not itself evidence of retention strength or weakness absent broader data. Insider Buying (0/2): No evidence of net insider buying by the founder Co-CEOs or other executives was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Growth-sleeve stock (no dividend paid). On clears every core target: D/E of 29.4% is well under the 70% target, ROE of 23.95% exceeds the 15% target, profit margin of 12.3% is moderate but positive, and Forward P/E of 13.77x is well below the 20x target despite a growth profile in the low-20% range. Forward PEG of 0.56 is well under the 1.0 target, reflecting a valuation that looks cheap relative to guided growth even after the stock's post-earnings pullback (currently ~19% below its 50-day moving average of $35.71). Revenue growth of 13.5% YoY (trailing) and an approximate 35% revenue CAGR over the last three fiscal years both clear their respective targets comfortably. Liquidity is not a constraint: ~6.1M average daily shares at $28.83 clears roughly $176M in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On shows genuine infinite-game instincts in its willingness to accept a near-term hit — deliberately throttling wholesale sell-in and absorbing steep U.S. tariffs (40% Vietnam, 39% Indonesia) by investing in higher-margin innovation rather than cutting corners, a decision the market punished with a 19% single-day stock decline after Q2 2026 earnings [1]. The March 2026 return to a founder-led Co-CEO structure reconnects strategic intent with execution, but the company is young (founded 2010, IPO 2021) and its 'ignite the human spirit through movement' purpose has not yet been tested through a multi-decade cycle or major crisis the way Sinek's canonical infinite players have been.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On's purpose to 'ignite the human spirit through movement' is genuine and service-oriented, reflected in product philosophy (performance running gear) and reinforced by continued innovation investment, but the company is still early in proving this cause survives leadership transitions and industry cycles at the multi-decade scale Sinek looks for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March 2026 return of founders David Allemann and Caspar Coppetti as Co-CEOs, explicitly framed as reconnecting founder-led strategic intent with execution, is a constructive signal, but no employee tenure or turnover data exists to confirm a high-trust culture, and the CEO change itself introduces near-term organizational adjustment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Coverage of On's growth is consistently framed as 'taking market share from legacy competitors such as Nike and Adidas' — a share-capture, win-lose framing rather than language about learning from or being sharpened by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LightSpray robotic manufacturing platform is a real technological evolution of how On builds shoes — a meaningful adaptation — but it extends rather than abandons the core footwear business, so it registers as incremental rather than transformative flexibility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Management deliberately guided down near-term wholesale sell-in to protect a 'clean runway' for upcoming innovation launches, a decision that contributed to a 19% single-day stock decline — a real, immediate cost accepted for long-term brand and product positioning. Separately, facing 40% and 39% U.S. tariffs on Vietnam and Indonesia imports respectively, leadership chose to invest in higher-priced innovative products to preserve margin rather than compromise on quality or manufacturing standards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 Holding combines a rare growth-plus-value profile: Q2 2026 constant-currency revenue growth of 21.6% and a record 65.4% gross margin, alongside FY2026 EBITDA margin guidance of 19.5-20.0%, against a Forward P/E of just 13.77x and a Forward PEG of 0.56 [1]. ROE of 23.95% and D/E of only 29.4% reflect a lean, well-capitalized balance sheet, and the March 2026 return of founders David Allemann and Caspar Coppetti as Co-CEOs reconnects strategic vision with execution. The LightSpray robotic manufacturing platform, now scaling through a dedicated South Korea factory, is a genuine process innovation that could expand margins further as adoption scales, and management's willingness to absorb steep U.S. tariffs (40% Vietnam, 39% Indonesia) through premium product innovation rather than margin-compromising cost cuts signals long-term brand discipline [2].</w:t>
      </w:r>
    </w:p>
    <w:p>
      <w:pPr>
        <w:spacing w:after="120"/>
      </w:pPr>
      <w:r>
        <w:rPr>
          <w:rFonts w:ascii="Calibri" w:hAnsi="Calibri"/>
          <w:b w:val="0"/>
          <w:color w:val="3A4A28"/>
          <w:sz w:val="20"/>
        </w:rPr>
        <w:t>The bear case starts with the market's own verdict: shares fell 19% after Q2 2026 earnings despite the strong headline growth, reflecting concern that management's deliberate wholesale sell-in deceleration signals a slower near-term growth trajectory than previously modeled, and reported YoY revenue growth of 13.5% (USD-reported) trails the 21.6% constant-currency figure, exposing meaningful FX sensitivity [1]. Inspiration evidence is thin — no community-impact, retention, or insider-buying data was found to support the mission floor score, and the company's infinite-game credentials remain unproven at scale given its 2021 IPO and limited operating history through a full economic cycle. Tariff exposure (40%/39% on key manufacturing geographies) is a structural cost headwind that must be continuously offset through premium pricing and innovation, a strategy that works only as long as consumer demand for higher-priced product persists [2]. AI Resilience is capped in the MODERATE band because no AI-specific revenue or efficiency gain was identified, leaving upside from automation/AI investment unrealized in current disclosures.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LightSpray robotic manufacturing scaling through the new South Korea factory, potentially expanding gross margin beyond the current record 65.4% as automation reduces production costs [1][2]</w:t>
      </w:r>
    </w:p>
    <w:p>
      <w:pPr>
        <w:spacing w:before="40" w:after="40"/>
        <w:ind w:left="283"/>
      </w:pPr>
      <w:r>
        <w:rPr>
          <w:rFonts w:ascii="Calibri" w:hAnsi="Calibri"/>
          <w:b/>
          <w:color w:val="4A6B25"/>
          <w:sz w:val="20"/>
        </w:rPr>
        <w:t xml:space="preserve">2. </w:t>
      </w:r>
      <w:r>
        <w:rPr>
          <w:rFonts w:ascii="Calibri" w:hAnsi="Calibri"/>
          <w:b w:val="0"/>
          <w:color w:val="3A4A28"/>
          <w:sz w:val="20"/>
        </w:rPr>
        <w:t>Continued market share capture from Nike and Adidas as On's DTC channel (45.7% of sales, +34.3% cc) outgrows wholesale, improving mix and margin durability [1]</w:t>
      </w:r>
    </w:p>
    <w:p>
      <w:pPr>
        <w:spacing w:before="40" w:after="40"/>
        <w:ind w:left="283"/>
      </w:pPr>
      <w:r>
        <w:rPr>
          <w:rFonts w:ascii="Calibri" w:hAnsi="Calibri"/>
          <w:b/>
          <w:color w:val="4A6B25"/>
          <w:sz w:val="20"/>
        </w:rPr>
        <w:t xml:space="preserve">3. </w:t>
      </w:r>
      <w:r>
        <w:rPr>
          <w:rFonts w:ascii="Calibri" w:hAnsi="Calibri"/>
          <w:b w:val="0"/>
          <w:color w:val="3A4A28"/>
          <w:sz w:val="20"/>
        </w:rPr>
        <w:t>'Breakthrough innovations' referenced by management for future launches, with wholesale sell-in deliberately managed to secure a clean runway for their introduction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Reported USD revenue growth of 13.5% YoY trails the 21.6% constant-currency figure, exposing material foreign-exchange sensitivity that could compress reported results if currency trends reverse [1]</w:t>
      </w:r>
    </w:p>
    <w:p>
      <w:pPr>
        <w:spacing w:before="40" w:after="40"/>
        <w:ind w:left="283"/>
      </w:pPr>
      <w:r>
        <w:rPr>
          <w:rFonts w:ascii="Calibri" w:hAnsi="Calibri"/>
          <w:b/>
          <w:color w:val="4A6B25"/>
          <w:sz w:val="20"/>
        </w:rPr>
        <w:t xml:space="preserve">2. </w:t>
      </w:r>
      <w:r>
        <w:rPr>
          <w:rFonts w:ascii="Calibri" w:hAnsi="Calibri"/>
          <w:b w:val="0"/>
          <w:color w:val="3A4A28"/>
          <w:sz w:val="20"/>
        </w:rPr>
        <w:t>U.S. tariffs of 40% (Vietnam) and 39% (Indonesia) on key manufacturing geographies require continuous margin offset through premium pricing, a strategy vulnerable to any softening in consumer willingness to pay [2]</w:t>
      </w:r>
    </w:p>
    <w:p>
      <w:pPr>
        <w:spacing w:before="40" w:after="40"/>
        <w:ind w:left="283"/>
      </w:pPr>
      <w:r>
        <w:rPr>
          <w:rFonts w:ascii="Calibri" w:hAnsi="Calibri"/>
          <w:b/>
          <w:color w:val="4A6B25"/>
          <w:sz w:val="20"/>
        </w:rPr>
        <w:t xml:space="preserve">3. </w:t>
      </w:r>
      <w:r>
        <w:rPr>
          <w:rFonts w:ascii="Calibri" w:hAnsi="Calibri"/>
          <w:b w:val="0"/>
          <w:color w:val="3A4A28"/>
          <w:sz w:val="20"/>
        </w:rPr>
        <w:t>Deliberate wholesale sell-in deceleration to protect future launch runway already triggered a 19% single-day stock decline post-Q2 2026 earnings, signaling market skepticism about near-term growth durability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On's core business — designing, manufacturing, and selling physical performance footwear and apparel — is structurally insulated from generative AI substitution; no analyst commentary in research flagged AI disruption risk to athletic footwear demand, and the company's LightSpray robotic manufacturing investment is a production-efficiency asset rather than a source of AI-driven vulnerability [2]. Some marketing and retail-experience functions could see AI-tool adoption over time, but the physical-product core is defensible. AI Opportunity (0/1): No quantified AI-attributable revenue or cost savings were disclosed in available research; LightSpray is described as robotics/automation rather than an explicit AI revenue driver, so no opportunity point is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 Reports Second Quarter 2026 Results — CHF 850.3M revenue (+21.6% cc), 65.4% gross margin, FY2026 guidance — On Press Release, Investing.com earnings call transcript, August 2026</w:t>
      </w:r>
    </w:p>
    <w:p>
      <w:pPr>
        <w:spacing w:before="20" w:after="20"/>
        <w:ind w:left="170"/>
      </w:pPr>
      <w:r>
        <w:rPr>
          <w:rFonts w:ascii="Calibri" w:hAnsi="Calibri"/>
          <w:b/>
          <w:color w:val="4A6B25"/>
          <w:sz w:val="15"/>
        </w:rPr>
        <w:t xml:space="preserve">2. </w:t>
      </w:r>
      <w:r>
        <w:rPr>
          <w:rFonts w:ascii="Calibri" w:hAnsi="Calibri"/>
          <w:b w:val="0"/>
          <w:color w:val="3A4A28"/>
          <w:sz w:val="17"/>
        </w:rPr>
        <w:t>On Holding Leadership Evolution — Co-CEOs David Allemann and Caspar Coppetti, LightSpray robotic manufacturing/South Korea factory, U.S. tariff impact (40% Vietnam, 39% Indonesia) — CNBC, WWD, On Press Release, March-August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ONON Key Statistics: Forward P/E 13.77x, ROE 23.95%, Forward PEG 0.56, D/E 29.4%,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