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OSCR</w:t>
      </w:r>
      <w:r>
        <w:rPr>
          <w:rFonts w:ascii="Calibri" w:hAnsi="Calibri"/>
          <w:b/>
          <w:color w:val="1A2010"/>
          <w:sz w:val="40"/>
        </w:rPr>
        <w:t xml:space="preserve">  Oscar Health, Inc.</w:t>
      </w:r>
    </w:p>
    <w:p>
      <w:pPr>
        <w:spacing w:after="120"/>
      </w:pPr>
      <w:r>
        <w:rPr>
          <w:rFonts w:ascii="Calibri" w:hAnsi="Calibri"/>
          <w:b/>
          <w:color w:val="6E8450"/>
          <w:sz w:val="18"/>
        </w:rPr>
        <w:t>GROWTH SLEEVE · 2026-08-23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Health Insurance · NYSE · United States</w:t>
      </w:r>
    </w:p>
    <w:p>
      <w:pPr>
        <w:spacing w:after="80"/>
      </w:pPr>
      <w:r>
        <w:rPr>
          <w:rFonts w:ascii="Calibri" w:hAnsi="Calibri"/>
          <w:b w:val="0"/>
          <w:color w:val="3A4A28"/>
          <w:sz w:val="20"/>
        </w:rPr>
        <w:t>Oscar Health is a technology-driven health insurance company offering individual, small group, and Medicare Advantage plans through a digital-first platform. Q2 2026 revenue reached $4.9B (+70% YoY) with membership growing to 2.96M lives (+46% YoY). H1 2026 generated $1.1B in earnings from operations and $1B in net income, prompting a $250M raise to full-year EFO guidance of $500-700M. The company deploys AI across 21+ use cases including the Oswell personal AI agent. Founded in 2012, headquartered in New York.</w:t>
      </w:r>
    </w:p>
    <w:p>
      <w:r>
        <w:rPr>
          <w:rFonts w:ascii="Calibri" w:hAnsi="Calibri"/>
          <w:b/>
          <w:color w:val="6E8450"/>
          <w:sz w:val="18"/>
        </w:rPr>
        <w:t>3,500 Employees · https://www.hioscar.com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Oscar has transformed from a venture-backed insurtech startup into a $19B revenue health insurer, pioneering the digital-first model that legacy carriers are scrambling to replicate [1]. Q2 2026 revenue of $4.9B (+70% YoY) and membership of 2.96M (+46%) validate the scalability of the technology-driven approach. The company crossed into sustained profitability in 2026 with H1 net income of $1B, proving the business model works at scale [1]. AI Deployment (2/2): Oscar's Oswell personal AI agent (powered by OpenAI) provides members with personalized health navigation, appointment scheduling, and care recommendations [2]. The company has 11 AI use cases in production spanning claims automation, care path optimization, and provider matching, with 10 more in the pipeline [2]. AI-driven efficiencies are directly contributing to the 12-percentage-point MLR improvement in Q2 2026. Market Share (1/2): Oscar is gaining significant share in ACA marketplace exchanges with above-market membership growth, but remains small relative to UnitedHealth, Elevance, and CVS/Aetna in the $4.5 trillion U.S. health insurance market [1]. Product Pipeline (1/2): Expanding beyond individual ACA plans into small group, Medicare Advantage, and +Oscar technology licensing, broadening the addressable market. No transformative next-generation product with specific launch dates announced beyond current expansion. R&amp;D Intensity (1/1): As a technology-first insurer, Oscar invests heavily in engineering and platform development relative to traditional insurance peers, with technology being the core differentiator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Oscar's mission to make a healthier life accessible and affordable for all is genuine and validated by consistent execution — expanding coverage in underserved ACA markets and launching the Culturally Competent Care Program to address healthcare disparities [3]. CEO Mark Bertolini's personal experience with catastrophic injury and the healthcare system deepens the authenticity of Oscar's purpose. Strategic decisions including market entry choices clearly trace to this mission. Community Impact (1/2): The Culturally Competent Care Program provides tailored support for diverse member populations, and Oscar's digital-first model reduces environmental impact [3]. The company expanded access in communities with limited insurance options. However, community investment remains modest relative to the company's rapidly growing scale. Employee Retention (1/2): Oscar maintains a technology-forward startup culture. However, Glassdoor reviews present mixed signals — some employees cite the mission-driven culture as a strength, while others describe leadership challenges and strategic direction changes [2]. Co-founder Mario Schlosser's transition to advisory role raises cultural continuity questions. Insider Buying (1/2): CEO Bertolini's compensation is equity-aligned, demonstrating personal financial commitment to Oscar's success. However, no evidence of meaningful net insider buying by executives in recent quarters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Oscar's financial profile has transformed dramatically in 2026 with the profitability inflection. D/E of 23.46% is far below the 70% target, reflecting conservative leverage (score 1.0) [4]. ROE surged to 34.26% (score 1.0, 2x weight), a dramatic reversal from the -2.62% in the prior screen as accumulated losses erode the equity base while profits surge [4]. Revenue growth YoY of 70% (Q2 2026) scores a perfect 1.0, and 5-year revenue CAGR of approximately 50% also scores 1.0 (2x weight) [1]. Forward P/E of approximately 15x scores 1.0 [4]. The only drag is profit margin of 7.4% (Q2 2026), scoring 0.37 — improved from negative but still below the 20% target, reflecting the thin-margin nature of health insurance [1]. PEG ratio estimated at approximately 0.5 given the rapid earnings growth trajectory, scoring 1.0 (2x weight). Liquidity floor easily cleared at ~$183M daily dollar volume (5.7M shares x $32.02)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Oscar Health demonstrates meaningful infinite game characteristics through its genuine mission to democratize healthcare access, willingness to sustain years of losses while building a technology platform, and strategic flexibility in expanding beyond its original ACA marketplace focus. CEO Mark Bertolini brings an infinite game mindset forged during his Aetna tenure and personal healthcare experience. The H1 2026 profitability inflection validates the long-term bet. However, Glassdoor reviews reveal cultural challenges, and the co-founder transition introduces uncertainty about long-term institutional identity.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Oscar's mission to make a healthier life accessible and affordable for all is genuine and forward-looking, validated by consistent expansion into underserved ACA markets and investment in culturally competent care [3]. The company sustained years of operating losses while building a technology platform that could transform health insurance delivery — a decision that demonstrates commitment beyond quarterly earnings. CEO Bertolini's personal experience with catastrophic injury deepens the authenticity of Oscar's purpose [2]. The H1 2026 profitability inflection ($1B net income) vindicates this long-term commitment. However, the Just Cause is still being established over time and hasn't been tested through a multi-decade cycle.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Oscar maintains a startup-oriented culture emphasizing agility, innovation, and cross-functional collaboration, with technology teams integrated alongside insurance operations in an unusual model for the industry [2]. The AI governance committee reflects structured trust in leadership decision-making. However, Glassdoor reviews present mixed signals — some employees cite mission-driven culture, while others describe leadership as 'unqualified' and culture as 'toxic' [2]. Co-founder Mario Schlosser's transition to advisory role removes a cultural anchor during a critical scaling phase.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Oscar explicitly acknowledges UnitedHealth Group, Elevance Health, and other traditional insurers as worthy competitors whose scale, provider network depth, and data advantages push Oscar to improve its own technology platform and member experience [1]. Bertolini's deep familiarity with the competitive landscape from his Aetna years ensures Oscar engages with rivals constructively. The company's strategy is built around learning from incumbents' strengths in network management and actuarial sophistication while competing on technology.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Oscar has evolved from a narrow ACA individual marketplace insurer into a broader health platform offering small group plans, Medicare Advantage, and the +Oscar technology licensing model that allows other insurers to leverage Oscar's platform [1]. This strategic broadening expanded the addressable market dramatically and shows willingness to adapt the business model in service of the mission. However, the core business remains health insurance — no truly transformative pivot has been executed.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Oscar's founding thesis — that a technology startup could compete against century-old insurance incumbents — was genuinely courageous, and the company sustained this bet through years of losses exceeding $1B in cumulative deficits [1]. The decision to pursue aggressive growth to $19B+ revenue while proving profitability requires conviction. The H1 2026 profitability inflection ($1B net income) validates this long-term courage [1]. However, no costly principle-driven decision that sacrificed near-term performance for long-term values was identified beyond the original founding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Oscar Health has executed a remarkable profitability inflection in 2026 — H1 generated $1.1B in earnings from operations and $1B in net income, prompting management to raise full-year EFO guidance by $250M to $500-700M [1]. Q2 2026 revenue of $4.9B (+70% YoY) and membership of 2.96M (+46% YoY) demonstrate both top-line momentum and pricing discipline, with MLR improving 12 percentage points YoY to 79.2% in Q2 [1]. The Oswell AI agent and 21+ AI use cases are driving measurable operational efficiency gains that translate directly to margin improvement [2]. At ~15x trailing earnings and an estimated PEG of 0.5, the stock is reasonably valued for a company growing revenue 60%+ annually with demonstrated profitability. The digital-first platform creates a structural cost advantage over legacy carriers, and expansion into small group, Medicare Advantage, and +Oscar licensing extends the growth runway. Inspire ALIGNED score (31) is favorable for faith-based investors.</w:t>
      </w:r>
    </w:p>
    <w:p>
      <w:pPr>
        <w:spacing w:after="120"/>
      </w:pPr>
      <w:r>
        <w:rPr>
          <w:rFonts w:ascii="Calibri" w:hAnsi="Calibri"/>
          <w:b w:val="0"/>
          <w:color w:val="3A4A28"/>
          <w:sz w:val="20"/>
        </w:rPr>
        <w:t>The primary risk is earnings sustainability. The H1 2026 results benefited from favorable prior period reserve development (one-time tailwind), and the full-year MLR guidance of 81.5-82.5% implies significant margin compression in H2 2026 relative to Q2's 79.2% [1]. The EFO guidance of $500-700M for the full year, despite H1 already delivering $1.1B, suggests management expects H2 earnings to be materially lower — or is being extremely conservative. At $32 per share (up 15% from the prior screen), the stock has re-rated to price in some profitability improvement. Oscar's heavy concentration in ACA marketplace plans (2.96M members) exposes the company to policy risk — changes in ACA subsidies or exchange regulations could materially impact membership dynamics [1]. Glassdoor reviews reveal cultural challenges including concerns about leadership qualification and strategic direction changes, which could impair execution as the company scales to $19B in revenue [2]. Competition from UnitedHealth, Elevance, and CVS/Aetna intensifies as incumbents accelerate digital transformation. The 7.4% profit margin, while a breakthrough, remains thin relative to mature insurers.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revenue guidance of $18.7B-$19.0B and raised EFO guidance of $500-700M implies continued 60%+ growth with H2 clarity on whether H1 profitability is structural or seasonal [1]</w:t>
      </w:r>
    </w:p>
    <w:p>
      <w:pPr>
        <w:spacing w:before="40" w:after="40"/>
        <w:ind w:left="283"/>
      </w:pPr>
      <w:r>
        <w:rPr>
          <w:rFonts w:ascii="Calibri" w:hAnsi="Calibri"/>
          <w:b/>
          <w:color w:val="4A6B25"/>
          <w:sz w:val="20"/>
        </w:rPr>
        <w:t xml:space="preserve">2. </w:t>
      </w:r>
      <w:r>
        <w:rPr>
          <w:rFonts w:ascii="Calibri" w:hAnsi="Calibri"/>
          <w:b w:val="0"/>
          <w:color w:val="3A4A28"/>
          <w:sz w:val="20"/>
        </w:rPr>
        <w:t>Oswell AI agent and 21+ AI use cases driving measurable MLR improvement (Q2 MLR 79.2%, down 12pp YoY) — continued AI deployment could create durable cost advantages over legacy carriers [2]</w:t>
      </w:r>
    </w:p>
    <w:p>
      <w:pPr>
        <w:spacing w:before="40" w:after="40"/>
        <w:ind w:left="283"/>
      </w:pPr>
      <w:r>
        <w:rPr>
          <w:rFonts w:ascii="Calibri" w:hAnsi="Calibri"/>
          <w:b/>
          <w:color w:val="4A6B25"/>
          <w:sz w:val="20"/>
        </w:rPr>
        <w:t xml:space="preserve">3. </w:t>
      </w:r>
      <w:r>
        <w:rPr>
          <w:rFonts w:ascii="Calibri" w:hAnsi="Calibri"/>
          <w:b w:val="0"/>
          <w:color w:val="3A4A28"/>
          <w:sz w:val="20"/>
        </w:rPr>
        <w:t>Membership growth to 2.96M (+46% YoY) with expansion into small group, Medicare Advantage, and +Oscar technology licensing broadening the addressable market beyond ACA individual plans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H2 2026 earnings normalization — EFO guidance of $500-700M for full year despite $1.1B H1 suggests material H2 decline, and MLR guidance of 81.5-82.5% implies 2-3pp compression from Q2's 79.2%, raising questions about the durability of the profitability inflection [1]</w:t>
      </w:r>
    </w:p>
    <w:p>
      <w:pPr>
        <w:spacing w:before="40" w:after="40"/>
        <w:ind w:left="283"/>
      </w:pPr>
      <w:r>
        <w:rPr>
          <w:rFonts w:ascii="Calibri" w:hAnsi="Calibri"/>
          <w:b/>
          <w:color w:val="4A6B25"/>
          <w:sz w:val="20"/>
        </w:rPr>
        <w:t xml:space="preserve">2. </w:t>
      </w:r>
      <w:r>
        <w:rPr>
          <w:rFonts w:ascii="Calibri" w:hAnsi="Calibri"/>
          <w:b w:val="0"/>
          <w:color w:val="3A4A28"/>
          <w:sz w:val="20"/>
        </w:rPr>
        <w:t>ACA policy concentration risk — 2.96M members heavily weighted toward marketplace exchange plans, exposing Oscar to subsidy changes, exchange regulation modifications, or Medicaid redetermination dynamics [1]</w:t>
      </w:r>
    </w:p>
    <w:p>
      <w:pPr>
        <w:spacing w:before="40" w:after="40"/>
        <w:ind w:left="283"/>
      </w:pPr>
      <w:r>
        <w:rPr>
          <w:rFonts w:ascii="Calibri" w:hAnsi="Calibri"/>
          <w:b/>
          <w:color w:val="4A6B25"/>
          <w:sz w:val="20"/>
        </w:rPr>
        <w:t xml:space="preserve">3. </w:t>
      </w:r>
      <w:r>
        <w:rPr>
          <w:rFonts w:ascii="Calibri" w:hAnsi="Calibri"/>
          <w:b w:val="0"/>
          <w:color w:val="3A4A28"/>
          <w:sz w:val="20"/>
        </w:rPr>
        <w:t>Cultural and execution risk at scale — Glassdoor reviews describe leadership challenges and strategic direction changes, co-founder Schlosser transitioned to advisory role, and scaling from startup to $19B company requires organizational maturity that remains unproven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Health insurance is deeply protected from AI disruption by regulatory barriers (state-by-state licensing, CMS compliance, actuarial requirements), relationship complexity (provider network negotiations, care coordination), and capital requirements (risk-based capital reserves, MLR mandates) [1]. Oscar's digital-first model positions the company as an AI beneficiary rather than a target — its technology platform was built to leverage data analytics and machine learning natively, giving it an advantage over legacy carriers bolting on AI capabilities [2]. The primary AI risk is that large incumbents like UnitedHealth could deploy AI at greater scale given their data advantages across 150M+ covered lives, potentially narrowing Oscar's technology edge. AI Opportunity (1/1): Oscar's Oswell AI agent and 21+ AI use cases (11 deployed, 10 in pipeline) represent meaningful AI-embedded revenue contribution [2]. AI-driven claims automation, care path optimization, and member engagement are directly contributing to the 12-percentage-point MLR improvement in Q2 2026, with quantifiable impact on operational efficiency and profitability.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Oscar Health Q2 2026 Earnings and Business Update — Revenue $4.9B (+70% YoY), Membership 2.96M (+46%), H1 Net Income $1B, EFO Guidance Raised to $500-700M, MLR 79.2%, August 2026</w:t>
      </w:r>
    </w:p>
    <w:p>
      <w:pPr>
        <w:spacing w:before="20" w:after="20"/>
        <w:ind w:left="170"/>
      </w:pPr>
      <w:r>
        <w:rPr>
          <w:rFonts w:ascii="Calibri" w:hAnsi="Calibri"/>
          <w:b/>
          <w:color w:val="4A6B25"/>
          <w:sz w:val="15"/>
        </w:rPr>
        <w:t xml:space="preserve">2. </w:t>
      </w:r>
      <w:r>
        <w:rPr>
          <w:rFonts w:ascii="Calibri" w:hAnsi="Calibri"/>
          <w:b w:val="0"/>
          <w:color w:val="3A4A28"/>
          <w:sz w:val="17"/>
        </w:rPr>
        <w:t>Oscar Health AI Strategy and Culture — Oswell AI Agent, 21+ AI Use Cases, Glassdoor Reviews, Mario Schlosser Advisory Transition, Mark Bertolini CEO, 2026</w:t>
      </w:r>
    </w:p>
    <w:p>
      <w:pPr>
        <w:spacing w:before="20" w:after="20"/>
        <w:ind w:left="170"/>
      </w:pPr>
      <w:r>
        <w:rPr>
          <w:rFonts w:ascii="Calibri" w:hAnsi="Calibri"/>
          <w:b/>
          <w:color w:val="4A6B25"/>
          <w:sz w:val="15"/>
        </w:rPr>
        <w:t xml:space="preserve">3. </w:t>
      </w:r>
      <w:r>
        <w:rPr>
          <w:rFonts w:ascii="Calibri" w:hAnsi="Calibri"/>
          <w:b w:val="0"/>
          <w:color w:val="3A4A28"/>
          <w:sz w:val="17"/>
        </w:rPr>
        <w:t>Oscar Health ESG Report and Mission — Culturally Competent Care Program, Healthcare Access Mission, Community Initiatives,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OSCR Key Statistics: PE 15.61, D/E 23.46%, ROE 34.26%, Profit Margin 7.4%, Price $32.02, Avg Volume 5.7M,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