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PRTS</w:t>
      </w:r>
      <w:r>
        <w:rPr>
          <w:rFonts w:ascii="Calibri" w:hAnsi="Calibri"/>
          <w:b/>
          <w:color w:val="1A2010"/>
          <w:sz w:val="40"/>
        </w:rPr>
        <w:t xml:space="preserve">  CarParts.com,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35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Parts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Online-only retailer of aftermarket collision, engine and performance auto parts and accessories for consumers and professional installers.</w:t>
      </w:r>
    </w:p>
    <w:p>
      <w:r>
        <w:rPr>
          <w:rFonts w:ascii="Calibri" w:hAnsi="Calibri"/>
          <w:b/>
          <w:color w:val="6E8450"/>
          <w:sz w:val="18"/>
        </w:rPr>
        <w:t>https://www.carparts.com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1: online-only model and own-brand parts, but no recent transformative launch. AI 2: third-generation AI search matches VINs to compatibility data at 98% accuracy and an AI shopping assistant has launched [2]. Market share 1: meaningful but shrinking (TTM revenue $515.8M, -10.7%) [1]. Pipeline 0: no named next-gen items. R&amp;D 0: not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2: clear online auto-parts access aim, not distinctive. Community, retention and insider buying not evidenced; Glassdoor's 3.9 rating is not scored [2]. Scored 0 on adds.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about 44,452 shares x $8.52 is roughly $0.38M daily, below $1M, so Infrastructure is 0 regardless of metrics (D/E 90%, ROE -46%, margin -5.4%, revenue -10.7%)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Turnaround-stage retailer focusing on profitability over growth; a purpose exists but strategy responds to quarterly results.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Making parts accessible online is service-oriented but shallow and not a distinctive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David Meniane has 83% approval on Glassdoor and a people-first reputation, but sentiment is average (3.9/5)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Competitive framing is about share against Amazon and brick-and-mortar chains; no worthy-rival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Shift from growth-at-all-costs to profit-focused marketing rationalization is a meaningful but incremental pivot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Cutting marketing spend to reach positive adjusted EBITDA ($585K in Q1 2026) sacrifices revenue, which is a costly but sensible choice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Q1 2026 produced the first positive adjusted EBITDA since Q1 2024 ($585K, a swing of nearly $7M) and Q2 net loss narrowed to $3.2M as marketing spend was rationalized [1]. AI-driven search at 98% fitment accuracy supports conversion.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Revenue is falling 10% (Q2 $135.6M), net margin is -5.4%, ROE is -46%, and the $69M market cap with only 44K shares of daily volume fails the IOWN liquidity floor [1]. Amazon and AI shopping agents pressure a rationalized marketing model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positive adjusted EBITDA as marketing efficiency improves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Stabilization of revenue after marketing rationalization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search and assistant lifting conversion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double-digit revenue declines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ROE and GAAP losses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Illiquidity and competition from Amazon and AI shopping agents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E-commerce parts retail is exposed to AI shopping agents and marketplace intermediaries such as Amazon, and the company's own 10-Q lists AI as an operational, competitive and reputational risk [2]. Physical fulfillment and VIN-fitment data provide partial defense. AI tools are internal, with no AI revenue, so tiebreaker is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CarParts.com Q2 2026 results, SEC Form 8-K, August 2026; Q1 2026 earnings transcript,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CarParts.com Form 10-Q (July 2026) and Glassdoor reviews,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CarParts.com ESG data listings (CapEdge, Sustainalytics),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via yfinance, PRTS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