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PSUS</w:t>
      </w:r>
      <w:r>
        <w:rPr>
          <w:rFonts w:ascii="Calibri" w:hAnsi="Calibri"/>
          <w:b/>
          <w:color w:val="1A2010"/>
          <w:sz w:val="40"/>
        </w:rPr>
        <w:t xml:space="preserve">  Pershing Square USA, Ltd.</w:t>
      </w:r>
    </w:p>
    <w:p>
      <w:pPr>
        <w:spacing w:after="120"/>
      </w:pPr>
      <w:r>
        <w:rPr>
          <w:rFonts w:ascii="Calibri" w:hAnsi="Calibri"/>
          <w:b/>
          <w:color w:val="6E8450"/>
          <w:sz w:val="18"/>
        </w:rPr>
        <w:t>GROWTH SLEEVE · 2026-08-21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Pershing Square USA, Ltd. is a closed-end equity fund launched in April 2026 via a $5 billion IPO on the NYSE, managed by Pershing Square Capital Management, L.P. ($26.6B total AUM as of March 2026). The fund invests in 12-15 high-quality, predominantly North American-listed, large-capitalization growth companies at discounts to intrinsic value. Current holdings include Amazon, Microsoft, Uber, Meta, Brookfield, Restaurant Brands, Fannie Mae, and Freddie Mac, with approximately 55% of the portfolio concentrated in 4 AI-related stocks. The fund trades at a ~21% discount to NAV ($39.67 vs. $50.32 estimated NAV), which Bill Ackman has called 'frankly absurd.' Annual expense ratio of 2.20% with no performance fee.</w:t>
      </w:r>
    </w:p>
    <w:p>
      <w:r>
        <w:rPr>
          <w:rFonts w:ascii="Calibri" w:hAnsi="Calibri"/>
          <w:b/>
          <w:color w:val="6E8450"/>
          <w:sz w:val="18"/>
        </w:rPr>
        <w:t>https://www.pershingsquareusa.com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Pershing Square Capital Management has delivered approximately 16% annualized returns since 2004 inception, outperforming the S&amp;P 500 through concentrated activist investing [1]. However, PSUS itself launched only in April 2026 and has immediately traded at a ~20% discount to NAV, a troubled debut for the largest closed-end fund IPO in history. AI Deployment (1/2): The fund's portfolio is heavily allocated to AI beneficiaries — 55% of the portfolio is concentrated in 4 AI stocks: Microsoft (Azure AI), Meta (AI-driven advertising), Amazon (AWS AI), and others, giving investors significant indirect AI exposure through Ackman's conviction bets [2]. Market Share (1/2): Pershing Square is a recognized name in concentrated activist investing with $26.6B in total AUM, and the $5B PSUS IPO was historically significant, though the persistent 20%+ NAV discount undermines the market positioning [1]. Pipeline (1/2): Ackman has deployed 85% of capital in 12 companies and continues active portfolio management — recent moves include selling Alphabet entirely to fund a $2.1B Microsoft position, demonstrating decisive portfolio construction [2]. R&amp;D Intensity (0/1): Not applicable — investment fund.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PSUS articulates a clear purpose — providing retail and institutional investors access to Pershing Square's concentrated, high-conviction investment approach through a permanent capital structure with no performance fee [2]. This is distinctive for the closed-end fund space, identifying a genuine value proposition around democratizing institutional-quality investing. However, it serves investors' financial interests rather than a broader societal purpose. Community Impact (0/2): No evidence of charitable programs or community investment by PSUS itself. Pershing Square's philanthropy operates through the separate Pershing Square Foundation. Employee Retention (0/2): PSUS has no employees — it is managed by Pershing Square Capital Management. The investment team's stability is relevant but not directly measurable for this entity. Insider Buying (2/2): Pershing Square management and affiliates have acquired more than 10 million shares representing $500+ million of PSUS in the IPO and in open-market purchases — an extraordinary demonstration of insider conviction by Ackman and the team, representing the strongest dollar-value insider commitment in the screen universe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PSUS presents a challenging infrastructure assessment because most traditional financial metrics are not applicable to a 4-month-old closed-end fund [4]. The fund has no trailing P/E, no meaningful revenue, no debt-to-equity ratio, and no profit margin in the traditional sense. The forward P/E of ~5.7x (estimated look-through earnings of underlying holdings) is attractive but reflects the portfolio companies' earnings, not PSUS's own profitability. The fund trades at approximately a 21% discount to NAV ($39.67 vs. $50.32 estimated NAV), with Ackman calling the discount 'frankly absurd' and analysts noting it is 'one of the widest discounts of any U.S. closed-end fund invested in public securities' [1][3]. The 2.20% expense ratio is high relative to passive alternatives and creates a structural headwind to returns. With limited scoreable metrics, the infrastructure score is constrained. Liquidity floor cleared: 431K avg volume x $39.67 = $17.1M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Pershing Square's permanent capital structure is explicitly designed for infinite-game investing — Ackman has articulated that PSUS allows him to hold positions for decades without redemption pressure, eliminating the forced selling that undermines most hedge funds. The 22-year track record of concentrated, conviction-driven investing demonstrates consistency of approach, and $500M+ in personal insider capital demonstrates extraordinary alignment. However, the fund is only 4 months old, the persistent ~21% NAV discount creates finite-game pressure to justify performance, and the 2.20% expense ratio represents a structural headwind.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Ackman has articulated a distinctive vision for PSUS — democratizing access to institutional-quality concentrated investing through a permanent capital vehicle with no performance fee [2]. The permanent capital structure explicitly enables longer-term thinking than traditional hedge funds. This connects investing to a purpose beyond quarterly performance — creating value through active ownership and patient capital allocation. However, the cause is ultimately financial — improving returns for investors — and hasn't been tested through crisis in the PSUS structure.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Pershing Square investment team has been remarkably stable, with CIO Ryan Israel and senior analysts maintaining long tenures at the firm [2]. Ackman's willingness to take large, concentrated positions requires deep trust within the team. The board held seven meetings in 2025 focusing on portfolio performance, strategy, succession, and culture. However, Ackman's dominant personality and high public profile create a single-point-of-failure risk — the entire value proposition depends on one person's judgment.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Ackman has publicly acknowledged learning from Warren Buffett's approach to permanent capital and concentrated investing, explicitly modeling PSUS's structure after Berkshire Hathaway [1]. This represents a clear worthy-rival mindset — using Buffett's strengths as inspiration for self-improvement rather than competitive destruction. Ackman's shift from performance fees to a management-fee-only structure was directly influenced by studying Berkshire's approach. He has also acknowledged past mistakes (Valeant, JC Penney) as learning experiences.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Pershing Square has demonstrated meaningful strategic evolution — from a traditional hedge fund to a publicly listed permanent capital vehicle, eliminating performance fees and embracing transparency [1]. The PSUS structure represents a genuine reinvention of the business model. Recent portfolio shifts — selling Alphabet entirely to fund a $2.1B Microsoft position, pivoting toward AI infrastructure plays — show willingness to make large, decisive moves [2]. However, the core strategy of concentrated equity investing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Ackman and affiliates invested $500+ million of personal capital into PSUS at the $50 IPO price, now sitting at a ~21% loss given the NAV discount [1]. Maintaining conviction and publicly defending the thesis while the stock trades 21% below NAV — calling the discount 'frankly absurd' — requires genuine courage when facing institutional investor skepticism and Seeking Alpha analysis projecting 'further discounts over time' [3]. However, the PSUS launch itself was not a courageous sacrifice — it was a wealth-creating event for Pershing Square's management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PSUS offers access to Bill Ackman's 16% annualized track record (since 2004) through a permanent capital structure at a ~21% discount to NAV ($39.67 vs. $50.32 estimated NAV) [1]. The portfolio is concentrated in 12 high-quality large-cap names with ~55% in 4 AI stocks (Microsoft, Amazon, Meta), Uber, Brookfield, and Fannie Mae/Freddie Mac, providing significant exposure to the AI infrastructure buildout and financial sector catalysts [2]. Ackman and affiliates have invested $500+ million in personal capital, creating exceptional alignment — the strongest dollar-value insider commitment across the entire screen universe [1]. The permanent capital structure eliminates redemption pressure, enabling the patient, concentrated investing approach that generated 16% annualized returns over 22 years. If the NAV discount narrows from 21% to the 10-15% range typical of mature closed-end funds, shareholders would capture 7-13% in additional return beyond portfolio performance.</w:t>
      </w:r>
    </w:p>
    <w:p>
      <w:pPr>
        <w:spacing w:after="120"/>
      </w:pPr>
      <w:r>
        <w:rPr>
          <w:rFonts w:ascii="Calibri" w:hAnsi="Calibri"/>
          <w:b w:val="0"/>
          <w:color w:val="3A4A28"/>
          <w:sz w:val="20"/>
        </w:rPr>
        <w:t>The bear case centers on the persistent NAV discount, the 2.20% expense ratio, and key-person risk. PSUS has traded at a 20-21% discount since its April 2026 IPO, and closed-end fund discounts often persist for years — there is no redemption mechanism to force convergence, and Seeking Alpha analysis projects 'further discounts over time' [3]. The 2.20% annual expense ratio is high relative to ETFs and mutual funds offering similar large-cap equity exposure at 0.03-0.10%, creating a ~2% annual headwind that Ackman must overcome just to match passive alternatives [3]. PSH (the London-listed sister fund) was down -4.7% YTD through May 2026, underperforming the S&amp;P 500 during the same period. Key-person risk is extreme — the entire value proposition depends on Ackman's judgment, and his concentrated style has produced both spectacular gains and devastating losses (Valeant -$4B, JC Penney). The Inspire Impact Score of 0 (MIXED) reflects limited ESG data available for this newly listed closed-end fund. With zero operating history as an independent entity, all performance claims rely on the parent fund PSH, which operates under different fee and capital structures.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discount narrowing from ~21% to the 10-15% range typical of mature closed-end funds could generate 7-13% incremental return beyond portfolio performance, with Ackman actively managing investor relations to close the gap [1][3]</w:t>
      </w:r>
    </w:p>
    <w:p>
      <w:pPr>
        <w:spacing w:before="40" w:after="40"/>
        <w:ind w:left="283"/>
      </w:pPr>
      <w:r>
        <w:rPr>
          <w:rFonts w:ascii="Calibri" w:hAnsi="Calibri"/>
          <w:b/>
          <w:color w:val="4A6B25"/>
          <w:sz w:val="20"/>
        </w:rPr>
        <w:t xml:space="preserve">2. </w:t>
      </w:r>
      <w:r>
        <w:rPr>
          <w:rFonts w:ascii="Calibri" w:hAnsi="Calibri"/>
          <w:b w:val="0"/>
          <w:color w:val="3A4A28"/>
          <w:sz w:val="20"/>
        </w:rPr>
        <w:t>55% portfolio concentration in AI stocks (Microsoft, Meta, Amazon) positions PSUS to benefit from continued AI infrastructure spending acceleration and enterprise AI adoption, with Ackman explicitly shifting strategy toward AI infrastructure and energy plays [2]</w:t>
      </w:r>
    </w:p>
    <w:p>
      <w:pPr>
        <w:spacing w:before="40" w:after="40"/>
        <w:ind w:left="283"/>
      </w:pPr>
      <w:r>
        <w:rPr>
          <w:rFonts w:ascii="Calibri" w:hAnsi="Calibri"/>
          <w:b/>
          <w:color w:val="4A6B25"/>
          <w:sz w:val="20"/>
        </w:rPr>
        <w:t xml:space="preserve">3. </w:t>
      </w:r>
      <w:r>
        <w:rPr>
          <w:rFonts w:ascii="Calibri" w:hAnsi="Calibri"/>
          <w:b w:val="0"/>
          <w:color w:val="3A4A28"/>
          <w:sz w:val="20"/>
        </w:rPr>
        <w:t>Fannie Mae and Freddie Mac recapitalization thesis could unlock significant value if government-sponsored enterprise reform advances under favorable policy conditions, providing asymmetric upside from a legacy activist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NAV discount is structural for closed-end funds — PSUS has no redemption mechanism, Seeking Alpha projects widening discounts, and the London-listed PSH has historically traded at ~30% discounts, suggesting PSUS's 21% gap may not narrow [1][3]</w:t>
      </w:r>
    </w:p>
    <w:p>
      <w:pPr>
        <w:spacing w:before="40" w:after="40"/>
        <w:ind w:left="283"/>
      </w:pPr>
      <w:r>
        <w:rPr>
          <w:rFonts w:ascii="Calibri" w:hAnsi="Calibri"/>
          <w:b/>
          <w:color w:val="4A6B25"/>
          <w:sz w:val="20"/>
        </w:rPr>
        <w:t xml:space="preserve">2. </w:t>
      </w:r>
      <w:r>
        <w:rPr>
          <w:rFonts w:ascii="Calibri" w:hAnsi="Calibri"/>
          <w:b w:val="0"/>
          <w:color w:val="3A4A28"/>
          <w:sz w:val="20"/>
        </w:rPr>
        <w:t>2.20% annual expense ratio creates a structural headwind — Ackman must outperform the S&amp;P 500 by at least 2.2% annually just to match zero-cost passive alternatives, and PSH was down -4.7% YTD through May 2026 while the S&amp;P 500 hit record highs [3]</w:t>
      </w:r>
    </w:p>
    <w:p>
      <w:pPr>
        <w:spacing w:before="40" w:after="40"/>
        <w:ind w:left="283"/>
      </w:pPr>
      <w:r>
        <w:rPr>
          <w:rFonts w:ascii="Calibri" w:hAnsi="Calibri"/>
          <w:b/>
          <w:color w:val="4A6B25"/>
          <w:sz w:val="20"/>
        </w:rPr>
        <w:t xml:space="preserve">3. </w:t>
      </w:r>
      <w:r>
        <w:rPr>
          <w:rFonts w:ascii="Calibri" w:hAnsi="Calibri"/>
          <w:b w:val="0"/>
          <w:color w:val="3A4A28"/>
          <w:sz w:val="20"/>
        </w:rPr>
        <w:t>Key-person risk is extreme — Ackman's judgment drives all portfolio decisions with concentrated positions that amplify both gains and losses, and his historical record includes both 70%+ annual returns and multi-billion dollar losses on single positions (Valeant, JC Penney)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PSUS is a closed-end fund holding a concentrated portfolio of large-cap equities — the fund itself is a financial structure, not an operating business, so AI disruption risk flows through the underlying holdings [2]. The portfolio includes major AI beneficiaries (Microsoft, Meta, Amazon representing ~55% in 4 AI stocks), which are actively building AI infrastructure and generating AI revenue. However, the fund management function — concentrated stock picking and activist investing — could face pressure as AI-driven quantitative strategies become more sophisticated. The critical question is whether Ackman's judgment-based, activist approach retains its alpha in an AI-enhanced market. The 2.20% expense ratio is under particular pressure from zero-cost AI-enabled investment strategies. AI Opportunity (1/1): The portfolio generates substantial AI revenue through its holdings — Microsoft's Azure AI, Meta's AI-driven advertising platform, and Amazon's AWS AI services collectively represent tens of billions in AI revenue, giving PSUS meaningful indirect AI exposure. Ackman has explicitly shifted portfolio strategy toward 'massive investments in artificial intelligence infrastructure and energy requirements'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Pershing Square USA IPO and NAV Data — $5B IPO April 29 2026 at $50/share, NAV $50.32, 21% Discount, $500M+ Insider Investment, Ackman Calls Discount 'Frankly Absurd', CNBC/Moneywise/FastCompany, April-August 2026</w:t>
      </w:r>
    </w:p>
    <w:p>
      <w:pPr>
        <w:spacing w:before="20" w:after="20"/>
        <w:ind w:left="170"/>
      </w:pPr>
      <w:r>
        <w:rPr>
          <w:rFonts w:ascii="Calibri" w:hAnsi="Calibri"/>
          <w:b/>
          <w:color w:val="4A6B25"/>
          <w:sz w:val="15"/>
        </w:rPr>
        <w:t xml:space="preserve">2. </w:t>
      </w:r>
      <w:r>
        <w:rPr>
          <w:rFonts w:ascii="Calibri" w:hAnsi="Calibri"/>
          <w:b w:val="0"/>
          <w:color w:val="3A4A28"/>
          <w:sz w:val="17"/>
        </w:rPr>
        <w:t>Pershing Square Capital Management Investor Communications — Portfolio Holdings (55% in 4 AI Stocks: Microsoft, Meta, Amazon), Alphabet Sale, $2.1B Microsoft Position, AI Infrastructure Strategy, Q2 2026 Shareholder Letter, Motley Fool/IndexBox Analysis,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MoneyWise Analysis — PSUS Expense Ratio 2.20%, NAV Discount Projection, PSH Historical Discount Data (~30%), Structural Closed-End Fund Risks, May-August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Robinhood — PSUS Key Statistics: Stock Price $39.67, Avg Volume 431K,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