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SBET</w:t>
      </w:r>
      <w:r>
        <w:rPr>
          <w:rFonts w:ascii="Calibri" w:hAnsi="Calibri"/>
          <w:b/>
          <w:color w:val="1A2010"/>
          <w:sz w:val="40"/>
        </w:rPr>
        <w:t xml:space="preserve">  Sharplink, Inc.</w:t>
      </w:r>
    </w:p>
    <w:p>
      <w:pPr>
        <w:spacing w:after="120"/>
      </w:pPr>
      <w:r>
        <w:rPr>
          <w:rFonts w:ascii="Calibri" w:hAnsi="Calibri"/>
          <w:b/>
          <w:color w:val="6E8450"/>
          <w:sz w:val="18"/>
        </w:rPr>
        <w:t>GROWTH SLEEVE · 2026-08-23 · Inspire: 35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Financials · Digital Assets &amp; Cryptocurrency · NASDAQ · United States</w:t>
      </w:r>
    </w:p>
    <w:p>
      <w:pPr>
        <w:spacing w:after="80"/>
      </w:pPr>
      <w:r>
        <w:rPr>
          <w:rFonts w:ascii="Calibri" w:hAnsi="Calibri"/>
          <w:b w:val="0"/>
          <w:color w:val="3A4A28"/>
          <w:sz w:val="20"/>
        </w:rPr>
        <w:t>Sharplink, Inc. (formerly SharpLink Gaming) is an institutional-grade Ethereum treasury platform and the world's second-largest corporate holder of ETH with 888,938 ETH as of August 2026. The company transformed from a sports betting affiliate marketing firm into a crypto treasury vehicle in mid-2025, raising approximately $3.2B through equity markets to accumulate Ethereum. Led by CEO Joseph Chalom (former BlackRock executive) with Ethereum co-founder Joe Lubin as Executive Chairman. H1 2026 revenue was $23.59M (primarily from ETH staking and DeFi yields) against a net loss of $1.08B. The company also maintains a legacy online affiliate marketing business serving casino gaming partners.</w:t>
      </w:r>
    </w:p>
    <w:p>
      <w:r>
        <w:rPr>
          <w:rFonts w:ascii="Calibri" w:hAnsi="Calibri"/>
          <w:b/>
          <w:color w:val="6E8450"/>
          <w:sz w:val="18"/>
        </w:rPr>
        <w:t>40 Employees · https://www.sharplink.com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Sharplink executed one of the most dramatic corporate pivots in recent market history, transforming from a small sports betting marketing company ($0.7M quarterly revenue) into the world's second-largest corporate Ethereum holder (888,938 ETH) in under 18 months [1]. While the transformation was bold in scope, it represents a financial strategy pivot rather than a product or technology innovation, and the outcome is entirely dependent on ETH price performance. AI Deployment (0/2): No AI deployment or strategy was identified. The company is a crypto treasury vehicle without meaningful technology operations [2]. Market Share (1/2): Sharplink is the world's second-largest publicly traded corporate holder of Ethereum, behind only a small number of crypto-native entities. This is a distinctive position, though the 'market' is ETH accumulation rather than a product category [1]. Product Pipeline (0/2): No next-generation products or services with specific timelines. The company's strategy is to continue accumulating ETH and generating staking yields. R&amp;D Intensity (0/1): No meaningful R&amp;D expenditure. The company is a financial holding vehicle, not a technology developer.</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Sharplink describes itself as an 'institutional-grade Ethereum treasury platform that provides public market investors with exposure to ETH' [2]. This is a business description rather than a mission — it identifies what the company does (holds Ethereum) but articulates no deeper purpose or vision of a better future. It is interchangeable with any crypto holding vehicle. Community Impact (0/2): No evidence of charitable programs, community investment, or social impact initiatives. Employee Retention (0/2): The company has approximately 40 employees with no public data on retention, tenure, or employee satisfaction. Insider Buying (0/2): While Joe Lubin (Ethereum co-founder) serves as Executive Chairman and has deep alignment with the ETH thesis, no specific insider share purchase data was identified [2]. The leadership team's conviction is expressed through the ETH treasury strategy rather than direct open-market stock purchases.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Sharplink carries zero debt (D/E of 0%, scoring a perfect 1.0), reflecting the company's equity-funded structure after raising $3.2B through share issuance [4]. ROE of -0.07% scores 0.0 (below the 0% floor). Revenue growth YoY is extraordinary at 1,628.6% (Q1 2026 revenue of $12.1M vs $0.7M in Q1 2025), scoring 1.0, though this reflects a complete business model transformation rather than organic growth [1]. Profit margin is deeply negative at approximately -2,613% ($734.6M net loss against $28.1M TTM revenue), scoring 0.0. Forward P/E and PEG are unavailable due to unprofitability. The stock clears the liquidity floor at approximately $33.4M daily traded value (5.75M shares x $5.81). Weighted sum of 2.0 out of 5.0 maximum available weight units yields 4/10.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Sharplink is a quintessential finite game player — a company that exists to maximize returns on a single speculative asset (Ethereum) with no articulated vision of a future worth building toward. The transformation from sports betting affiliate to ETH treasury vehicle was driven by financial opportunity rather than purpose, and the company's success or failure is entirely determined by ETH price movements. There is no Just Cause, no evidence of organizational trust-building, and no competitive philosophy beyond accumulating more ETH than peers.</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Sharplink has no Just Cause. The company exists to accumulate Ethereum and generate staking yields for shareholders [1]. There is no articulated vision of a future state worth building toward, no purpose beyond financial returns, and no cause that would survive a change in ETH's investment thesis. The business model is entirely transactional — buy ETH, stake ETH, report ETH gains. This is a finite game by definition.</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With approximately 40 employees, Sharplink is too small and newly constituted to evaluate organizational trust meaningfully [2]. The leadership team was assembled in 2025 around the ETH treasury pivot, with CEO Joseph Chalom joining in July 2025 and becoming sole CEO in December 2025. The rapid leadership transition (from Rob Phythian to Chalom within 5 months) and the company's complete business model transformation suggest organizational instability rather than a trust-building environment.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Sharplink's competitive positioning is defined by ETH accumulation volume (being the 'largest' or 'second-largest' corporate holder), which is a finite metric focused on size rather than improvement [1]. The company does not publicly acknowledge competitors' strengths or frame competition as motivation for self-improvement.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Sharplink executed a radical business model transformation in 2025, abandoning its legacy sports betting affiliate marketing business to become an Ethereum treasury platform [1][2]. This demonstrates willingness to completely reinvent the company. However, the pivot was driven by financial opportunism (leveraging the ETH bull market) rather than a cause-driven strategic evolution, and the company has not faced a test of whether it would pivot away from ETH if the thesis changed.</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decision to transform a small sports betting marketing company into the world's largest corporate ETH holder required raising $3.2B in equity capital, hiring a new leadership team from BlackRock and the Ethereum ecosystem, and abandoning the existing business model [2]. This was a high-conviction bet that risked the company's existence. However, the courage was in service of financial speculation rather than a Just Cause, and the massive shareholder dilution raises questions about whether leadership prioritized its own vision over existing shareholders' interests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Sharplink offers leveraged exposure to Ethereum through a publicly traded equity structure, holding 888,938 ETH (approximately $2.7B at current prices) with institutional-grade leadership from CEO Joseph Chalom (20-year BlackRock veteran) and Executive Chairman Joe Lubin (Ethereum co-founder) [1][2]. The ETH staking strategy has generated 9,241 ETH in staking rewards, and the company's zero-debt balance sheet provides a clean capital structure. Institutional ownership exceeding 30% suggests growing credibility among sophisticated investors. If ETH appreciates significantly, Sharplink provides amplified upside through its concentrated position and growing staking yield generation across protocols including Linea Layer 2 deployment of $200M [1].</w:t>
      </w:r>
    </w:p>
    <w:p>
      <w:pPr>
        <w:spacing w:after="120"/>
      </w:pPr>
      <w:r>
        <w:rPr>
          <w:rFonts w:ascii="Calibri" w:hAnsi="Calibri"/>
          <w:b w:val="0"/>
          <w:color w:val="3A4A28"/>
          <w:sz w:val="20"/>
        </w:rPr>
        <w:t>The bear case is severe: Sharplink lost $1.08B in H1 2026 against only $23.59M in revenue, a catastrophic mismatch that reflects the company's dependence on ETH price movements [1]. Critical governance red flags include no Ethereum assets appearing on the balance sheet, no wallet address disclosed, and no independent auditor or custodian verification of the 888,938 ETH claimed [3]. The $3.2B in equity raises represent massive shareholder dilution (shares outstanding grew from minimal to 217M+). The company has no operating business beyond holding crypto — the legacy affiliate marketing segment is immaterial. The ETH treasury strategy is replicable by any company with access to capital markets, providing no competitive moat. Forecast unprofitability continues for at least 3 years, and the stock essentially functions as a leveraged ETH bet with added management fees, governance risk, and dilution risk.</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Ethereum price appreciation would directly increase the value of Sharplink's 888,938 ETH position, with each $100 increase in ETH price adding approximately $89M to the treasury value and potentially driving stock re-rating [1]</w:t>
      </w:r>
    </w:p>
    <w:p>
      <w:pPr>
        <w:spacing w:before="40" w:after="40"/>
        <w:ind w:left="283"/>
      </w:pPr>
      <w:r>
        <w:rPr>
          <w:rFonts w:ascii="Calibri" w:hAnsi="Calibri"/>
          <w:b/>
          <w:color w:val="4A6B25"/>
          <w:sz w:val="20"/>
        </w:rPr>
        <w:t xml:space="preserve">2. </w:t>
      </w:r>
      <w:r>
        <w:rPr>
          <w:rFonts w:ascii="Calibri" w:hAnsi="Calibri"/>
          <w:b w:val="0"/>
          <w:color w:val="3A4A28"/>
          <w:sz w:val="20"/>
        </w:rPr>
        <w:t>Expansion of DeFi staking and yield-generation strategies across new protocols could increase ETH-denominated returns, improving the value proposition relative to holding ETH directly [1]</w:t>
      </w:r>
    </w:p>
    <w:p>
      <w:pPr>
        <w:spacing w:before="40" w:after="40"/>
        <w:ind w:left="283"/>
      </w:pPr>
      <w:r>
        <w:rPr>
          <w:rFonts w:ascii="Calibri" w:hAnsi="Calibri"/>
          <w:b/>
          <w:color w:val="4A6B25"/>
          <w:sz w:val="20"/>
        </w:rPr>
        <w:t xml:space="preserve">3. </w:t>
      </w:r>
      <w:r>
        <w:rPr>
          <w:rFonts w:ascii="Calibri" w:hAnsi="Calibri"/>
          <w:b w:val="0"/>
          <w:color w:val="3A4A28"/>
          <w:sz w:val="20"/>
        </w:rPr>
        <w:t>Potential inclusion in cryptocurrency or digital asset ETFs and indices could drive institutional buying, as Sharplink is one of the few publicly traded pure-play ETH exposure vehicles on NASDAQ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Ethereum price decline would devastate the portfolio — a 30% ETH correction would wipe approximately $800M from the treasury value, potentially triggering margin calls or forced liquidations on any leveraged DeFi positions [1]</w:t>
      </w:r>
    </w:p>
    <w:p>
      <w:pPr>
        <w:spacing w:before="40" w:after="40"/>
        <w:ind w:left="283"/>
      </w:pPr>
      <w:r>
        <w:rPr>
          <w:rFonts w:ascii="Calibri" w:hAnsi="Calibri"/>
          <w:b/>
          <w:color w:val="4A6B25"/>
          <w:sz w:val="20"/>
        </w:rPr>
        <w:t xml:space="preserve">2. </w:t>
      </w:r>
      <w:r>
        <w:rPr>
          <w:rFonts w:ascii="Calibri" w:hAnsi="Calibri"/>
          <w:b w:val="0"/>
          <w:color w:val="3A4A28"/>
          <w:sz w:val="20"/>
        </w:rPr>
        <w:t>No independent verification of 888,938 ETH holdings exists — no wallet address disclosed, no custodian named, and no ETH appearing on SEC-filed balance sheets raises fundamental questions about the existence and security of the claimed assets [3]</w:t>
      </w:r>
    </w:p>
    <w:p>
      <w:pPr>
        <w:spacing w:before="40" w:after="40"/>
        <w:ind w:left="283"/>
      </w:pPr>
      <w:r>
        <w:rPr>
          <w:rFonts w:ascii="Calibri" w:hAnsi="Calibri"/>
          <w:b/>
          <w:color w:val="4A6B25"/>
          <w:sz w:val="20"/>
        </w:rPr>
        <w:t xml:space="preserve">3. </w:t>
      </w:r>
      <w:r>
        <w:rPr>
          <w:rFonts w:ascii="Calibri" w:hAnsi="Calibri"/>
          <w:b w:val="0"/>
          <w:color w:val="3A4A28"/>
          <w:sz w:val="20"/>
        </w:rPr>
        <w:t>Continued equity dilution through additional share issuances to fund ETH purchases erodes per-share value, with shares outstanding already at 217M+ after $3.2B in capital raises, and the company has disclosed no limit on future dilution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Sharplink's core business — holding, staking, and managing Ethereum as a treasury asset — is a financial operation that AI cannot substitute or displace [1]. The value of the company is determined by ETH price movements, DeFi yields, and cryptocurrency market dynamics, none of which are threatened by AI advancement. If anything, AI growth increases electricity and computing demand, which has historically been neutral-to-positive for crypto mining economics. However, the company scores 7 rather than 8-9 because its business model is purely financial with no physical-world moat — it could be replicated by any entity with capital, and AI-powered trading strategies could increase competition in DeFi yield optimization [3]. AI Opportunity (0/1): Sharplink generates no revenue from AI-related products or services. The company's revenue derives entirely from Ethereum staking, DeFi yields, and legacy affiliate marketing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35</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Sharplink Q1 &amp; Q2 2026 Earnings — Revenue $12.1M Q1, $11.53M Q2, Net Loss $1.08B H1, 888,938 ETH Holdings, Staking Rewards 9,241 ETH, accessed August 2026</w:t>
      </w:r>
    </w:p>
    <w:p>
      <w:pPr>
        <w:spacing w:before="20" w:after="20"/>
        <w:ind w:left="170"/>
      </w:pPr>
      <w:r>
        <w:rPr>
          <w:rFonts w:ascii="Calibri" w:hAnsi="Calibri"/>
          <w:b/>
          <w:color w:val="4A6B25"/>
          <w:sz w:val="15"/>
        </w:rPr>
        <w:t xml:space="preserve">2. </w:t>
      </w:r>
      <w:r>
        <w:rPr>
          <w:rFonts w:ascii="Calibri" w:hAnsi="Calibri"/>
          <w:b w:val="0"/>
          <w:color w:val="3A4A28"/>
          <w:sz w:val="17"/>
        </w:rPr>
        <w:t>Sharplink Leadership &amp; Corporate Strategy — CEO Joseph Chalom (ex-BlackRock), Chairman Joe Lubin (Ethereum co-founder), CIO Matthew Sheffield, accessed August 2026</w:t>
      </w:r>
    </w:p>
    <w:p>
      <w:pPr>
        <w:spacing w:before="20" w:after="20"/>
        <w:ind w:left="170"/>
      </w:pPr>
      <w:r>
        <w:rPr>
          <w:rFonts w:ascii="Calibri" w:hAnsi="Calibri"/>
          <w:b/>
          <w:color w:val="4A6B25"/>
          <w:sz w:val="15"/>
        </w:rPr>
        <w:t xml:space="preserve">3. </w:t>
      </w:r>
      <w:r>
        <w:rPr>
          <w:rFonts w:ascii="Calibri" w:hAnsi="Calibri"/>
          <w:b w:val="0"/>
          <w:color w:val="3A4A28"/>
          <w:sz w:val="17"/>
        </w:rPr>
        <w:t>Sharplink Governance Analysis — Fugazi Research, StockTitan, Yahoo Finance — No ETH on balance sheet, No wallet disclosed, Dilution concerns, accessed August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StockAnalysis — SBET Key Statistics: Stock Price $5.81, Market Cap $1.3B, D/E 0%, Avg Volume 5.75M,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