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TDIC</w:t>
      </w:r>
      <w:r>
        <w:rPr>
          <w:rFonts w:ascii="Calibri" w:hAnsi="Calibri"/>
          <w:b/>
          <w:color w:val="1A2010"/>
          <w:sz w:val="40"/>
        </w:rPr>
        <w:t xml:space="preserve">  Dreamland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Advertising Agencies / Event Management · NASDAQ · Hong Kong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Dreamland Limited, through Hong Kong-based subsidiaries, provides event management services — planning, promotion, and production of trade shows, conferences, concerts, exhibitions, charity galas, and corporate brand events. The company completed its Nasdaq IPO in July 2025 and, through subsidiary Trendic International Limited, signed a non-binding memorandum of understanding in 2026 to explore an AI-powered intelligent image library platform.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Dreamland's core event-management business shows no meaningful technology differentiation, and its sole innovation catalyst is a non-binding MoU with LinkFung Innovation Limited to explore a 12-month AI image-library project (real-time face detection, automated tagging, vector database infrastructure) that carries no committed revenue and no assurance of a definitive agreement[2][3]. There is no disclosed R&amp;D spend, patent portfolio, or market-share leadership to support a higher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Public disclosure shows no evidence of a distinctive mission, community-impact program, or employee-retention initiative beyond standard event-industry operations, and the company's post-IPO narrative has centered on speculative AI positioning rather than stakeholder-driven mission execution[1][3]. Net losses widened sharply (from a HK$6.4 million profit in FY2025 to a HK$74.1 million loss in FY2026), which is inconsistent with a strong inspiration or stewardship story.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Mechanically, Dreamland fails nearly every infrastructure metric: return on equity is deeply negative (-1,012%), debt-to-equity stands at ~395% (well past the 300% floor), profit margin is -146%, and full-year revenue contracted 27.5% even as half-year revenue rose on a small base[1]. Average dollar volume (~$1.09 million) sits just above the $1 million liquidity floor, but the stock also carries a Nasdaq minimum-bid-price deficiency notice issued in November 2025, adding delisting and reverse-split risk on top of the failing fundamentals[1][5].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Dreamland's post-IPO trajectory — widening losses, a Nasdaq compliance deficiency, and a stock-price surge driven by a non-binding AI MoU — reflects a company oriented toward short-term market attention rather than durable, long-term value creation.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public evidence of a cause beyond conventional event-management services, and the recent AI pivot reads as opportunistic narrative-chasing rather than mission-driven strategy[3].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 small, recently-IPO'd company with a concentrated ownership/founder structure, there is minimal public disclosure on internal culture or team empowerment.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Dreamland operates in a fragmented Hong Kong events market against larger established players like Pico Far East Holdings, without evidence of destructive competitive behavior.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toward an AI image-library platform shows willingness to adapt the business model, but the non-binding nature of the MoU and lack of execution track record limit credit for genuine strategic flexibility[3].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Announcing a speculative, non-binding AI MoU shortly after a Nasdaq compliance deficiency notice suggests reactive market-attention-seeking rather than deliberate, courageous long-term leadership[3][5].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Dreamland is a micro-cap ($6.7 million market cap) Hong Kong event-management company that completed its Nasdaq IPO in July 2025 and has since deteriorated financially, swinging from a HK$6.4 million profit to a HK$74.1 million net loss while revenue contracted 27.5% for the fiscal year[1]. The stock's extreme volatility (moves of up to 58.67% in a day, a 370%+ rally in under a month) is driven almost entirely by a non-binding MoU to explore an AI-powered image library platform with LinkFung Innovation, a project with no committed revenue, no definitive agreement, and a 12-month speculative timeline[2][3].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Compounding the fundamental weakness, Dreamland received a Nasdaq notification in November 2025 for failing to maintain the $1.00 minimum bid price requirement, creating real delisting or reverse-split risk independent of the AI narrative[5]. Every mechanically-scored infrastructure metric — leverage, ROE, margins, revenue growth — is at or near the worst end of the scoring range, and trading liquidity, while barely above the $1 million/day threshold, is thin and erratic. At a 26/100 overall score, this is a clear SELL: the business fundamentals are deteriorating and the speculative AI catalyst does not yet constitute evidence of a viable path to profitability.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 definitive, revenue-generating agreement stemming from the LinkFung AI image-library MoU (currently non-binding)[3]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Regaining Nasdaq minimum bid price compliance, avoiding delisting or a reverse stock split[5]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Stabilization or recovery of core Hong Kong event-management revenue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Nasdaq delisting risk from continued minimum bid price non-compliance[5]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Widening net losses (HK$74.1 million in the most recent fiscal year) with no clear path to profitability[1]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AI image-library initiative is non-binding with no assurance of a definitive agreement or completion[3]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4. </w:t>
      </w:r>
      <w:r>
        <w:rPr>
          <w:rFonts w:ascii="Calibri" w:hAnsi="Calibri"/>
          <w:b w:val="0"/>
          <w:color w:val="3A4A28"/>
          <w:sz w:val="20"/>
        </w:rPr>
        <w:t>Extremely thin and volatile trading liquidity increasing execution risk for any position size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5. </w:t>
      </w:r>
      <w:r>
        <w:rPr>
          <w:rFonts w:ascii="Calibri" w:hAnsi="Calibri"/>
          <w:b w:val="0"/>
          <w:color w:val="3A4A28"/>
          <w:sz w:val="20"/>
        </w:rPr>
        <w:t>Small public float and early-stage governance typical of recent micro-cap IPOs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a speculative optionality lever rather than a proven resilience factor: the Trendic/LinkFung MoU for an AI image-library platform triggered stock moves of up to 58.67% in a single day, indicating the market is pricing an unproven narrative rather than a demonstrated capability[3]. The underlying event-management business faces low direct AI disruption risk, but the pivot toward facial-recognition/image AI introduces new data-privacy and regulatory exposure in Hong Kong without an offsetting track record of execution.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Dreamland swings to HK$74.1m loss on 10% revenue rise, StockTitan (Form 20-F filing coverage)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Dreamland Limited's subsidiary Trendic International Limited and LinkFung sign AI image platform MoU, StockTitan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TDIC Stock Surged 127%, Turns AI MoU Into a Volatility Test, EBC Financial Group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What Going On With Dreamland Stock On Thursday?, Benzinga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Dreamland Ltd Nasdaq minimum bid price non-compliance notification coverage, StockTitan,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TDIC key statistics,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