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TOVX</w:t>
      </w:r>
      <w:r>
        <w:rPr>
          <w:rFonts w:ascii="Calibri" w:hAnsi="Calibri"/>
          <w:b/>
          <w:color w:val="1A2010"/>
          <w:sz w:val="40"/>
        </w:rPr>
        <w:t xml:space="preserve">  Theriva Biologics, Inc.</w:t>
      </w:r>
    </w:p>
    <w:p>
      <w:pPr>
        <w:spacing w:after="120"/>
      </w:pPr>
      <w:r>
        <w:rPr>
          <w:rFonts w:ascii="Calibri" w:hAnsi="Calibri"/>
          <w:b/>
          <w:color w:val="6E8450"/>
          <w:sz w:val="18"/>
        </w:rPr>
        <w:t>GROWTH SLEEVE · 2026-08-18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AMEX · United States</w:t>
      </w:r>
    </w:p>
    <w:p>
      <w:pPr>
        <w:spacing w:after="80"/>
      </w:pPr>
      <w:r>
        <w:rPr>
          <w:rFonts w:ascii="Calibri" w:hAnsi="Calibri"/>
          <w:b w:val="0"/>
          <w:color w:val="3A4A28"/>
          <w:sz w:val="20"/>
        </w:rPr>
        <w:t>Theriva Biologics, Inc. is a clinical-stage immuno-oncology company developing oncolytic viruses designed to overcome the protective barrier surrounding solid tumors and selectively kill tumor cells. Its lead candidate, VCN-01, is an oncolytic adenovirus advancing toward a pivotal Phase 3 trial in metastatic pancreatic ductal adenocarcinoma (PDAC), with FDA alignment on trial design and VIRAGE2 Phase 2a dosing underway. Additional programs include VCN-11 (Albumin Shield Technology for systemic delivery), SYN-004 (ribaxamase for aGVHD prevention), and SYN-020 (GI indications). Market cap ~$10M with $14.4M cash. Founded in 2001 and headquartered in Rockville, Maryland.</w:t>
      </w:r>
    </w:p>
    <w:p>
      <w:r>
        <w:rPr>
          <w:rFonts w:ascii="Calibri" w:hAnsi="Calibri"/>
          <w:b/>
          <w:color w:val="6E8450"/>
          <w:sz w:val="18"/>
        </w:rPr>
        <w:t>15 Employees · https://therivabio.com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Theriva remains pre-commercial with no approved products after years of development. The company has pivoted multiple times — from Adeona Pharmaceuticals to Synthetic Biologics to Theriva Biologics — without achieving regulatory approval or meaningful revenue [1]. Q1 2026 showed only $0.3M in license revenue from a single agreement, not product sales. The Q2 2026 results (reported August 11) continue to reflect a pre-revenue clinical-stage company [1]. AI Deployment (0/2): No evidence of AI integration in drug discovery, clinical trial design, or operations. The 15-person team lacks the scale or resources for meaningful AI deployment [2]. Market Share (1/2): VCN-01's oncolytic virus approach for pancreatic cancer addresses a high-unmet-need market — PDAC has a 5-year survival rate under 12% — with few effective treatments, giving it potential first-mover positioning in this niche. The company has FDA alignment on pivotal Phase 3 trial design and has dosed first patients in the VIRAGE2 Phase 2a trial [1]. Product Pipeline (2/2): The pipeline includes VCN-01 (VIRAGE2 Phase 2a underway, FDA-aligned Phase 3 design for PDAC), VCN-11 (preclinical, Albumin Shield Technology for systemic IV delivery), SYN-004 (Phase 1b/2a for aGVHD prevention), and SYN-020 (licensed to Rasayana for up to $38M in milestones) [1][2]. Multiple programs with specific timelines and regulatory alignment. R&amp;D Intensity (0/1): R&amp;D spending declined 88% YoY in Q1 2026, raising serious questions about the company's ability to advance its pipeline at pace. This is not top-quartile R&amp;D commitment by any measure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Theriva's mission to develop therapeutics for cancer patients in areas of high unmet need — particularly pancreatic cancer, which has a 5-year survival rate under 12% — is genuinely meaningful and identifies a clear beneficiary [2]. The oncolytic virus approach represents a novel modality with potentially transformative patient outcomes. However, the mission is standard for clinical-stage oncology companies and has been diluted by repeated corporate name changes and strategic pivots. Community Impact (0/2): No evidence of community programs, sustainability reporting, or philanthropic activity. The company's 15 employees and ~$10M market cap limit capacity for community engagement beyond its clinical mission [2]. Employee Retention (0/2): With only 15 full-time employees and no Glassdoor reviews available, there is insufficient data to assess employee culture or retention. The dual CEO/CFO role held by Steven Shallcross since 2015/2018 suggests lean operations but also extreme concentration of leadership responsibility [3]. Insider Buying (1/2): Management team average tenure of 9.9 years indicates long-term commitment despite the company's challenging financial position. CEO Shallcross has been with the company since 2015, demonstrating alignment through a prolonged and difficult development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at floor. D/E of 24.0% is the one bright spot, scoring a perfect 1.0 — the company carries minimal debt relative to equity [4]. However, ROE of -137.8% is deeply negative due to sustained operating losses ($2.0M net loss in Q1 2026 on $0.3M revenue), scoring 0.0 with 2x weight [1]. Profit margin is effectively 0% on negligible license revenue. Forward P/E is negative (meaningless for a money-losing company, scored 0.0). Revenue growth and PEG metrics are unavailable for a pre-commercial company. Cash of $14.4M provides runway into early 2027, but additional dilutive capital raises are inevitable — shares outstanding have grown to ~45.9M from a smaller base through repeated equity issuances [1][4]. The stock trades at $0.23 in penny-stock territory, down 84.8% from its 52-week high. Liquidity floor assessment: at estimated ~5.7M avg daily volume × $0.23 = ~$1.3M, barely clearing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Theriva demonstrates some infinite-game characteristics through its long-term commitment to developing cancer therapeutics despite years of losses and a micro-cap valuation. The management team's 9.9-year average tenure shows persistence. However, the company's survival-mode operations, 88% R&amp;D spending cuts, repeated corporate renamings, and need for ongoing dilutive capital raises reflect finite-game constraints. The strategic narrative is dominated by cash runway management rather than advancing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oncolytic virus therapies for pancreatic cancer — one of the deadliest cancers with few effective treatments — represents a genuinely worthy cause [2]. The mission connects directly to patient lives and addresses real unmet medical need. However, repeated corporate name changes (Adeona to Synthetic Biologics to Theriva) and pipeline pivots (from microbiome to oncolytic viruses) suggest the cause has shifted based on opportunity rather than serving as a consistent north star. The company exists to develop promising therapeutics, but the specific cause keeps evolving.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15-person team with management tenure averaging 9.9 years suggests a small, committed core group that has weathered significant adversity together [3]. CEO Shallcross's dual CEO/CFO role since 2015/2018 indicates trust and lean operations. However, the absence of Glassdoor data, the extremely small workforce, and 88% R&amp;D spending cuts raise questions about team morale and whether psychological safety exists when the company is in survival mode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Theriva engages with competitors as worthy rivals from whom to learn. The company operates in a niche (oncolytic viruses for PDAC) with few direct competitors, and its communications focus exclusively on its own pipeline milestones and regulatory interactions rather than competitive positioning or learning from larger immuno-oncology leaders like BioNTech or Regeneron.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Theriva has demonstrated willingness to pivot — from Synthetic Biologics' microbiome focus to Theriva's oncolytic virus emphasis via the VCN-01 in-licensing. The SYN-020 license to Rasayana Therapeutics for up to $38M in milestones shows willingness to monetize non-core assets [2]. However, the pivots appear driven by necessity (failed earlier programs) rather than strategic vision, and the 88% R&amp;D spending reduction indicates flexibility is being severely constrained by cash limitations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Theriva continues to pursue FDA alignment for a pivotal Phase 3 trial of VCN-01 and has dosed first patients in the VIRAGE2 Phase 2a trial despite its micro-cap status and resource constraints [1]. Maintaining clinical development ambitions with only 15 employees and $14.4M in cash requires conviction. However, the dramatic R&amp;D spending cuts (88% YoY decline) suggest that survival imperatives are overriding the long-term development vision, and the company's strategy appears to be minimizing cash burn until a partnership or catalyst emerges.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Theriva Biologics is a micro-cap clinical-stage biotech with a potentially meaningful oncolytic virus candidate (VCN-01) targeting pancreatic cancer — a $7B+ market with devastating patient outcomes. The company has achieved FDA alignment on a pivotal Phase 3 trial design for VCN-01 in metastatic PDAC, and has dosed first patients in the VIRAGE2 Phase 2a trial to optimize dosing regimens [1]. Both FDA and EMA have agreed to repeated dosing 'macrocycles' of VCN-01 with standard-of-care chemotherapy, a regulatory milestone that de-risks the pivotal trial path. Cash of $14.4M provides runway into early 2027. Q1 2026 net loss narrowed to $2.0M from $4.3M a year earlier, demonstrating improving cash efficiency [1]. The Inspire Impact Score of 28 (ALIGNED) with 5 positive attributions and zero negatives reflects the company's cancer-treatment mission [3].</w:t>
      </w:r>
    </w:p>
    <w:p>
      <w:pPr>
        <w:spacing w:after="120"/>
      </w:pPr>
      <w:r>
        <w:rPr>
          <w:rFonts w:ascii="Calibri" w:hAnsi="Calibri"/>
          <w:b w:val="0"/>
          <w:color w:val="3A4A28"/>
          <w:sz w:val="20"/>
        </w:rPr>
        <w:t>The bear case is overwhelming for all but the most speculative investors. With a ~$10M market cap, 15 employees, negative ROE of -137.8%, and R&amp;D spending that declined 88% YoY, Theriva lacks the resources to advance its pipeline without significant dilutive financing [1][4]. The stock trades at $0.23 — down 84.8% from its 52-week high of $0.86 — firmly in penny-stock territory with shares outstanding expanding to ~45.9M through repeated equity issuances. The company has changed its name and strategic focus multiple times, and a quorum issue delaying a warrant vote suggests weak institutional backing [3]. Even if VCN-01 shows promise in Phase 2/3 trials, the company would need a well-funded partner or acquirer to bring it to market. The 88% R&amp;D spending cut is particularly concerning, as it suggests the company is prioritizing cash preservation over pipeline advancement. Forward P/E is meaningless for a company with no clear path to profitability in the medium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VIRAGE2 Phase 2a trial dosing underway with FDA-aligned Phase 3 design for VCN-01 in metastatic PDAC — positive dosing optimization data could attract a licensing partner or acquirer for the Phase 3 program [1]</w:t>
      </w:r>
    </w:p>
    <w:p>
      <w:pPr>
        <w:spacing w:before="40" w:after="40"/>
        <w:ind w:left="283"/>
      </w:pPr>
      <w:r>
        <w:rPr>
          <w:rFonts w:ascii="Calibri" w:hAnsi="Calibri"/>
          <w:b/>
          <w:color w:val="4A6B25"/>
          <w:sz w:val="20"/>
        </w:rPr>
        <w:t xml:space="preserve">2. </w:t>
      </w:r>
      <w:r>
        <w:rPr>
          <w:rFonts w:ascii="Calibri" w:hAnsi="Calibri"/>
          <w:b w:val="0"/>
          <w:color w:val="3A4A28"/>
          <w:sz w:val="20"/>
        </w:rPr>
        <w:t>VCN-01 compassionate use in retinoblastoma provides additional clinical data and real-world evidence that could expand the addressable market beyond pancreatic cancer [1][2]</w:t>
      </w:r>
    </w:p>
    <w:p>
      <w:pPr>
        <w:spacing w:before="40" w:after="40"/>
        <w:ind w:left="283"/>
      </w:pPr>
      <w:r>
        <w:rPr>
          <w:rFonts w:ascii="Calibri" w:hAnsi="Calibri"/>
          <w:b/>
          <w:color w:val="4A6B25"/>
          <w:sz w:val="20"/>
        </w:rPr>
        <w:t xml:space="preserve">3. </w:t>
      </w:r>
      <w:r>
        <w:rPr>
          <w:rFonts w:ascii="Calibri" w:hAnsi="Calibri"/>
          <w:b w:val="0"/>
          <w:color w:val="3A4A28"/>
          <w:sz w:val="20"/>
        </w:rPr>
        <w:t>Cash of $14.4M with narrowing losses ($2.0M in Q1 2026 vs. $4.3M prior year) provides short-term runway, and any positive clinical readout could enable non-dilutive partnership financing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early 2027 with no clear path to profitability — additional capital raises will significantly dilute the ~$10M market cap through a share base that has already expanded to ~45.9M shares [1][4]</w:t>
      </w:r>
    </w:p>
    <w:p>
      <w:pPr>
        <w:spacing w:before="40" w:after="40"/>
        <w:ind w:left="283"/>
      </w:pPr>
      <w:r>
        <w:rPr>
          <w:rFonts w:ascii="Calibri" w:hAnsi="Calibri"/>
          <w:b/>
          <w:color w:val="4A6B25"/>
          <w:sz w:val="20"/>
        </w:rPr>
        <w:t xml:space="preserve">2. </w:t>
      </w:r>
      <w:r>
        <w:rPr>
          <w:rFonts w:ascii="Calibri" w:hAnsi="Calibri"/>
          <w:b w:val="0"/>
          <w:color w:val="3A4A28"/>
          <w:sz w:val="20"/>
        </w:rPr>
        <w:t>R&amp;D spending declined 88% YoY in Q1 2026, potentially slowing pipeline advancement at the critical stage when the company needs clinical data to attract partners or move to Phase 3 [1]</w:t>
      </w:r>
    </w:p>
    <w:p>
      <w:pPr>
        <w:spacing w:before="40" w:after="40"/>
        <w:ind w:left="283"/>
      </w:pPr>
      <w:r>
        <w:rPr>
          <w:rFonts w:ascii="Calibri" w:hAnsi="Calibri"/>
          <w:b/>
          <w:color w:val="4A6B25"/>
          <w:sz w:val="20"/>
        </w:rPr>
        <w:t xml:space="preserve">3. </w:t>
      </w:r>
      <w:r>
        <w:rPr>
          <w:rFonts w:ascii="Calibri" w:hAnsi="Calibri"/>
          <w:b w:val="0"/>
          <w:color w:val="3A4A28"/>
          <w:sz w:val="20"/>
        </w:rPr>
        <w:t>Pre-commercial micro-cap biotech with penny-stock pricing ($0.23, down 84.8% from 52-week high), no institutional anchor investors, and a history of corporate pivots and name changes — binary risk concentrated on VCN-01 clinical outcomes with a severely resource-constrained organization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Theriva's oncolytic virus platform involves biological engineering and clinical development that cannot be directly replicated by AI. Drug development requires physical wet-lab experimentation, animal studies, and human clinical trials — the VCN-01 adenovirus manufacturing and delivery process is inherently physical [2]. However, AI is increasingly used in drug discovery, clinical trial optimization, and biomarker identification by larger competitors. Theriva's 15-person team and severely reduced R&amp;D budget (88% YoY decline) leave it poorly positioned to adopt AI tools that could accelerate development timelines [1]. Larger immuno-oncology competitors with AI-augmented drug discovery pipelines could reach market faster in adjacent indications, and AI-driven clinical trial design could give well-resourced competitors efficiency advantages. AI Opportunity (0/1): No evidence of AI integration in discovery, trial design, or patient selection. The company's resource constraints make meaningful AI adoption unlikely in the near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Theriva Biologics Q1 and Q2 2026 Financial Results — $0.3M License Revenue, $2.0M Net Loss (Q1), $14.4M Cash, 88% R&amp;D Decline, FDA Phase 3 Alignment, VIRAGE2 First Patients Dosed, BioSpace/GlobeNewsWire, May-August 2026</w:t>
      </w:r>
    </w:p>
    <w:p>
      <w:pPr>
        <w:spacing w:before="20" w:after="20"/>
        <w:ind w:left="170"/>
      </w:pPr>
      <w:r>
        <w:rPr>
          <w:rFonts w:ascii="Calibri" w:hAnsi="Calibri"/>
          <w:b/>
          <w:color w:val="4A6B25"/>
          <w:sz w:val="15"/>
        </w:rPr>
        <w:t xml:space="preserve">2. </w:t>
      </w:r>
      <w:r>
        <w:rPr>
          <w:rFonts w:ascii="Calibri" w:hAnsi="Calibri"/>
          <w:b w:val="0"/>
          <w:color w:val="3A4A28"/>
          <w:sz w:val="17"/>
        </w:rPr>
        <w:t>Theriva Biologics Company Website — VCN-01 Oncolytic Adenovirus, VCN-11 Albumin Shield Technology, Pipeline Overview, PDAC Clinical Program,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Theriva Biologics Corporate Actions — Quorum Issue on Warrant Vote, Share Issuances, Inspire Impact Score 28 ALIGNED, GlobeNewsWire/Inspire Insight, 2025-2026</w:t>
      </w:r>
    </w:p>
    <w:p>
      <w:pPr>
        <w:spacing w:before="20" w:after="20"/>
        <w:ind w:left="170"/>
      </w:pPr>
      <w:r>
        <w:rPr>
          <w:rFonts w:ascii="Calibri" w:hAnsi="Calibri"/>
          <w:b/>
          <w:color w:val="4A6B25"/>
          <w:sz w:val="15"/>
        </w:rPr>
        <w:t xml:space="preserve">4. </w:t>
      </w:r>
      <w:r>
        <w:rPr>
          <w:rFonts w:ascii="Calibri" w:hAnsi="Calibri"/>
          <w:b w:val="0"/>
          <w:color w:val="3A4A28"/>
          <w:sz w:val="17"/>
        </w:rPr>
        <w:t>TOVX Financial Metrics — Stock Price $0.23, Market Cap ~$10M, D/E 24%, ROE -137.8%, Shares Outstanding ~45.9M, StockAnalysis/TradingView/Robinhood,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