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VET</w:t>
      </w:r>
      <w:r>
        <w:rPr>
          <w:rFonts w:ascii="Calibri" w:hAnsi="Calibri"/>
          <w:b/>
          <w:color w:val="1A2010"/>
          <w:sz w:val="40"/>
        </w:rPr>
        <w:t xml:space="preserve">  Vermilion Energy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Vermilion Energy is a Calgary-based international oil and gas producer with a diversified portfolio spanning Canada, France, the Netherlands, Germany, Ireland, Australia, and Central/Eastern Europe. The company recently increased its ownership of the Corrib natural gas project offshore Ireland to 56.5% from 20% via the acquisition of Equinor's stake, and reported Q2 2026 production of 125,800 boe/d, exceeding guidance, alongside $840M of debt reduction over five quarters [1]. Full-year 2026 production guidance was raised to 121,000-123,000 boe/d on unchanged E&amp;D capital of $600-630M.</w:t>
      </w:r>
    </w:p>
    <w:p>
      <w:r>
        <w:rPr>
          <w:rFonts w:ascii="Calibri" w:hAnsi="Calibri"/>
          <w:b/>
          <w:color w:val="6E8450"/>
          <w:sz w:val="18"/>
        </w:rPr>
        <w:t>636 Employees · https://www.vermilionenergy.com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Vermilion's primary 'transformation' in the last 5 years is portfolio consolidation via M&amp;A — most notably raising its Corrib gas field stake from 20% to 56.5% by acquiring Equinor's interest — rather than a product or business-model pivot [1][3]. AI Deployment (0/2): No evidence of AI-powered products or quantified AI-driven cost savings was found in company disclosures or press releases. Market Share (1/2): Vermilion is a meaningful but non-dominant international E&amp;P player with no category-leading share data cited. Product Pipeline (1/2): 2026 guidance offers specific production (121,000-123,000 boe/d) and capital ($600-630M) visibility, though this is standard E&amp;P guidance rather than next-generation product development [1]. R&amp;D Intensity (0/1): As an oil and gas producer, Vermilion does not report material R&amp;D spending, and no above-industry-average R&amp;D intensity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Vermilion states it is 'guided by core values of Excellence, Trust, Respect and Responsibility' — generic corporate values language interchangeable with any E&amp;P peer, with no distinctive articulation of purpose beyond production and shareholder returns [2]. Community Impact (0/2): No specific charitable programs, foundation, or dollar-quantified community investment were found in research. Employee Retention (0/2): Headcount fell from 743 to 636 (-14.4%) in 2025, and no tenure or voluntary-turnover data supporting a retention narrative was found. Insider Buying (0/2): Modest insider purchases were identified — CEO Dion Hatcher bought ~$16.5K in shares and a senior officer bought C$31,860 — but these are small, routine transactions rather than meaningful conviction buying, so this scores as neutral rather than a positive signal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growth/prospect stock. D/E of 0.63 (63%) and Forward P/E of 20.33 both sit near their respective targets (score ~1.0 and ~0.99). Revenue growth of +17.1% YoY (FY2025 vs FY2024) exceeds the 10% target (score 1.0), reflecting the Corrib acquisition and higher realized prices [1][5]. However, ROE of -18.54% and profit margin of -24.25% both fall at or below their zero floors, scoring 0, driven by a net loss of -$314M over the trailing twelve months tied to non-cash impairments and commodity price volatility [5]. Forward PEG is not meaningfully calculable given depressed trailing earnings and is excluded from the weighted calculation. The stock clears the liquidity floor comfortably (~1.13M shares/day x $13.39 = ~$15.2M daily dollar volume, well above the $1M threshold).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Vermilion behaves as a disciplined but conventionally finite-game E&amp;P operator — its strategic narrative centers on debt reduction, return-of-capital frameworks, and opportunistic M&amp;A (Corrib) rather than a Just Cause that transcends quarterly and annual capital allocation targets. Leadership has made some balance-sheet-protective decisions (the 2020 dividend suspension) but the company's public communications are dominated by production guidance and shareholder-return metrics typical of a commodity producer optimizing for the current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Vermilion's stated values ('Excellence, Trust, Respect and Responsibility') function as generic corporate principles rather than a resilient, service-oriented vision of a better future; the company's public messaging centers on production growth, debt reduction, and shareholder returns rather than a cause bigger than the business itself [2]. No evidence was found of strategic decisions traced back to a distinctive purpose beyond operational and financial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Vermilion describes a 'collaborative, community-minded culture' with values-based onboarding, but the 14.4% headcount reduction in 2025 (743 to 636 employees) is a meaningful contraction that cuts against a high-trust, stability narrative, and no independent tenure or turnover data was found to substantiate the culture claims [2][7].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Vermilion framing competitive dynamics as a source of self-improvement or explicitly acknowledging peer strengths; company communications focus on internal operational metrics (production guidance, capital discipline) rather than competitive positioning language of either kind.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Vermilion has incrementally reshaped its portfolio through international diversification (Canada, France, Netherlands, Germany, Ireland, Australia) and the recent Corrib stake increase to 56.5%, but this is portfolio optimization within the same oil and gas E&amp;P business model rather than a transformative reinvention of what the company does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Suspending the dividend in April 2020 to protect the balance sheet during the oil price collapse, followed by a disciplined multi-year deleveraging path ($840M debt reduction over five quarters) before restoring and growing the dividend, reflects a willingness to prioritize long-term solvency over short-term shareholder returns, though this is a single crisis-driven example rather than a sustained pattern of proactive, non-crisis-driven courageous bets [1][8].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Vermilion offers a diversified, internationally hedged oil and gas production base with improving capital discipline — Q2 2026 production of 125,800 boe/d beat guidance, the company has reduced debt by $840M over five quarters, and it raised full-year 2026 production guidance to 121,000-123,000 boe/d without increasing the $600-630M capital budget [1]. The Corrib stake increase to 56.5% adds high-margin European gas exposure at a time when European gas prices and AI-driven electricity demand growth provide a structural tailwind for natural gas producers. Revenue grew 17.1% YoY in FY2025, and the dividend has grown for five consecutive years since its 2022 reinstatement, with the current yield near 2.9%.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profitability and balance sheet quality: trailing ROE of -18.54% and profit margin of -24.25% reflect a net loss of roughly -$314M over the trailing twelve months, and GuruFocus-style screens flag an Altman Z-Score near 0.32, indicating elevated financial distress risk for a commodity producer exposed to volatile oil and natural gas prices [5]. The company's 2020 dividend suspension during the oil price collapse demonstrates that its shareholder return program is not resilient through a full commodity cycle, and the 14.4% workforce reduction in 2025 suggests ongoing cost pressure. With no discernible AI-linked revenue, weak innovation-checklist evidence, and a finite-game strategic posture centered on debt paydown and capital returns rather than a differentiated Just Cause, Vermilion is a cyclical, commodity-price-dependent holding rather than a durable compounder.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ramp of the Corrib gas project following the stake increase to 56.5%, adding high-margin, low-decline European natural gas production as regional gas prices remain elevated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debt reduction toward management's leverage targets, which could unlock an increased 40-60% return-of-capital payout ratio on excess free cash flow as announced with Q2 2026 results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European and North American natural gas demand tied to AI data center electricity consumption, which could support realized gas prices across Vermilion's Netherlands, Germany, and Ireland assets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Commodity price volatility remains the dominant risk — a renewed oil or European gas price downturn would pressure the -18.54% ROE and -24.25% profit margin further and could force another dividend suspension as occurred in 2020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financial distress signals (Altman Z-Score ~0.32) indicate the balance sheet has limited room for error if commodity prices weaken or if the Corrib integration requires unplanned capital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workforce reductions (-14.4% in 2025) and reliance on M&amp;A-driven consolidation rather than organic reserve growth raise questions about the long-term production replacement rate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Vermilion's business — physical extraction and sale of oil and natural gas from operated fields in Canada and Europe — cannot be substituted by AI software; production, drilling, and reservoir management remain physical-world operations that AI can optimize but not replace [6]. Industry research indicates AI is being used by oil and gas majors (e.g., BP's ~97% upstream plant reliability from predictive maintenance) as an efficiency enabler for the sector rather than a disruptive threat, and rising AI-driven data center electricity demand is a structural tailwind for natural gas producers like Vermilion's European gas assets [6]. AI Opportunity (0/1): No quantified AI-related revenue or AI-driven cost savings specific to Vermilion were identified in research, so no tiebreaker point is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Vermilion Energy Inc. Q2 2026 Results, Increases Annual Production Guidance and Enhances Return of Capital Framework — PR Newswire,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Vermilion Energy — Our Leadership and corporate values statements, vermilionenergy.com,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Vermilion Captures Majority Ownership in Ireland's Corrib Natural Gas Project — Natural Gas Intelligence,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The Globe and Mail / MarketBeat / TipRanks — VET insider trading summaries,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VET Statistics &amp; Valuation and Financials pages,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EY / Oil &amp; Gas Journal / Investing.com — AI adoption and impact on oil &amp; gas sector operations and earnings,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Vermilion Energy Inc. — 2025 workforce disclosure via stockanalysis.com Employees page,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Vermilion Energy Inc. Announces Suspension of Monthly Dividend, April 2020; Vermilion Energy 2023 Budget and Guidance, 25% Dividend Increase press release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