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VNET</w:t>
      </w:r>
      <w:r>
        <w:rPr>
          <w:rFonts w:ascii="Calibri" w:hAnsi="Calibri"/>
          <w:b/>
          <w:color w:val="1A2010"/>
          <w:sz w:val="40"/>
        </w:rPr>
        <w:t xml:space="preserve">  VNET Group, Inc.</w:t>
      </w:r>
    </w:p>
    <w:p>
      <w:pPr>
        <w:spacing w:after="120"/>
      </w:pPr>
      <w:r>
        <w:rPr>
          <w:rFonts w:ascii="Calibri" w:hAnsi="Calibri"/>
          <w:b/>
          <w:color w:val="6E8450"/>
          <w:sz w:val="18"/>
        </w:rPr>
        <w:t>GROWTH SLEEVE · 2026-08-24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Internet Content &amp; Information / Data Centers · NASDAQ · China</w:t>
      </w:r>
    </w:p>
    <w:p>
      <w:pPr>
        <w:spacing w:after="80"/>
      </w:pPr>
      <w:r>
        <w:rPr>
          <w:rFonts w:ascii="Calibri" w:hAnsi="Calibri"/>
          <w:b w:val="0"/>
          <w:color w:val="3A4A28"/>
          <w:sz w:val="20"/>
        </w:rPr>
        <w:t>VNET Group is China's largest carrier- and cloud-neutral internet data center services provider, operating both retail and wholesale IDC facilities that serve enterprise, cloud, and increasingly AI/GPU compute customers. The company has pivoted sharply toward large-scale wholesale data centers to capture surging AI infrastructure demand, surpassing 1 gigawatt of wholesale capacity in service in Q2 2026 with 1.2 gigawatts of total orders and reservations. VNET operates through variable interest entity (VIE) contractual arrangements due to PRC restrictions on foreign ownership of telecom-licensed businesses, a structural governance risk common to US-listed Chinese internet companies.</w:t>
      </w:r>
    </w:p>
    <w:p>
      <w:r>
        <w:rPr>
          <w:rFonts w:ascii="Calibri" w:hAnsi="Calibri"/>
          <w:b/>
          <w:color w:val="6E8450"/>
          <w:sz w:val="18"/>
        </w:rPr>
        <w:t>3,000 Employees · https://www.vnet.com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VNET's shift to wholesale AI-oriented data centers has been transformative — the company added more new IDC capacity in the past year than in the prior 25 years combined, crossed 1GW of wholesale capacity in service, and grew wholesale IDC revenue 29.3% YoY to RMB1.10B in Q2 2026 [1]. AI Deployment (2/2): VNET led the investment in MatrixOne, an AI-native software platform, and built the Ulanqab Green G-watt AIDC Super Intelligent Computing Flagship Base combining AI-native compute with dedicated green power infrastructure — specific, named platforms shipping today [2]. Market Share (1/2): VNET is positioned as a leading carrier-neutral IDC operator in China, though no specific market-share percentage versus peers (GDS, Chindata) was disclosed. Product Pipeline (2/2): RMB10-12B of 2026 capex is earmarked for 450-500MW of new capacity deliveries against 1.2GW of total orders/reservations — specific, quantified, dated pipeline visibility [1]. R&amp;D Intensity (0/1): No R&amp;D-to-revenue figure versus industry peers was disclosed.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VNET positions itself as a 'third-party neutral data center service provider' offering 'one-stop customized data center solutions' — accurate but generic infrastructure-vendor language without a differentiated, service-oriented purpose statement [2]. Community Impact (0/2): No specific charitable or community-investment programs with dollar figures were found; disclosed programs center on anti-corruption training (100% coverage) rather than community impact [2]. Employee Retention (0/2): No workforce tenure or turnover data was found. Insider Buying (0/2): No evidence of net insider buying was identified; the company has operated with an interim CEO (Executive Chairman Sheng Chen) since April 2024, which is a governance-stability concern rather than a retention positive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(Forward P/E and Forward PEG both unavailable and excluded from the weighted calculation, as the company is currently GAAP unprofitable). Revenue growth is the standout: TTM revenue growth of 18.7% clears the 10% target, and 5yr revenue CAGR of roughly 12.6% (RMB6.19B in FY2021 to RMB9.95B in FY2025) also clears target, both scoring at the cap [4]. However, D/E of 309% sits at or beyond the 300% floor (scoring zero) given the capital intensity of the data center buildout, ROE of -4.70% is negative (scoring zero against a 15% target, 2x weight), and profit margin of roughly -22% (TTM net loss of $350.6M on $1.58B revenue) also scores zero — reflecting a business still absorbing heavy depreciation and financing costs from its AI capacity expansion [4]. Liquidity clears the floor comfortably (~3.4M shares/day at $6.72, ~$23M/day).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VNET is executing an aggressive, capital-intensive pivot toward AI-driven wholesale data centers, showing genuine courage in committing RMB10-12B of 2026 capex against a backdrop of GAAP net losses. However, the company lacks a clearly articulated Just Cause beyond infrastructure buildout, has operated without a permanent CEO since April 2024, and shows no strong evidence of the organizational trust or worthy-rival mindset that would elevate it toward the infinite end of the spectrum.</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VNET's positioning as a neutral, customized data center provider is functional and accurate but does not articulate a bigger, service-oriented vision beyond building capacity for China's digital and AI economy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VNET has operated with Executive Chairman Sheng Chen serving as interim CEO since April 2024 — over two years without a permanent chief executive — a meaningful governance and leadership-stability gap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VNET framing competitors (GDS Holdings, Chindata, hyperscaler self-build) as sources of improvement versus a race for capacity share.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VNET has meaningfully evolved from a retail/enterprise IDC operator toward large-scale wholesale AI data centers with dedicated green power infrastructure (Ulanqab facility), a significant adaptation to the AI compute shift, though built on its existing data-center core competency rather than a full business-model reinvention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Committing RMB10-12B in 2026 capital expenditure to build out 450-500MW of new capacity while the company posted a FY2025 GAAP net loss demonstrates a willingness to invest heavily ahead of near-term profitability in pursuit of AI infrastructure scale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VNET is a direct beneficiary of China's AI infrastructure buildout, with wholesale IDC revenue up 29.3% YoY and total capacity in service surpassing 1GW for the first time in Q2 2026, backed by 1.2GW of total orders and reservations — a strong forward revenue indicator [1]. Full-year 2026 guidance calls for 15.6-18.6% total revenue growth and adjusted EBITDA growth of 19.2-25.9%, with the company already posting a small adjusted net profit in Q2 2026 after a prior-year adjusted loss, suggesting the capital-intensive buildout is beginning to translate into improving unit economics [1]. As essential AI infrastructure, VNET scores at the top of the AI Resilience framework (10/10) — it benefits from, rather than is threatened by, the AI capex supercycle, and named platforms like MatrixOne and the Ulanqab AIDC facility demonstrate specific execution against that thesis [2].</w:t>
      </w:r>
    </w:p>
    <w:p>
      <w:pPr>
        <w:spacing w:after="120"/>
      </w:pPr>
      <w:r>
        <w:rPr>
          <w:rFonts w:ascii="Calibri" w:hAnsi="Calibri"/>
          <w:b w:val="0"/>
          <w:color w:val="3A4A28"/>
          <w:sz w:val="20"/>
        </w:rPr>
        <w:t>The bear case is significant: VNET remains GAAP unprofitable (TTM net loss of $350.6M, ROE of -4.70%, profit margin of roughly -22%) and carries D/E of ~309%, at the floor of acceptable leverage, reflecting the debt-funded nature of its capacity buildout [4]. Corporate governance is a structural overhang — VNET operates through VIE contractual arrangements due to PRC restrictions on foreign ownership, and has functioned without a permanent CEO since April 2024, both of which introduce risks largely outside investor control [2]. Inspiration scores are the weakest in the framework (1/10), reflecting minimal disclosed community impact, retention data, or insider conviction, and the Infinite Game score of 3 (FINITE) reflects an execution-focused, infrastructure-buildout company rather than one organized around an enduring cause. Broader China ADR risk (delisting, capital controls, anti-monopoly regulatory action) remains a background risk for any US-listed China internet name.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conversion of the 1.2GW order/reservation pipeline into delivered, revenue-generating wholesale capacity through 2026-2027 would validate the AI infrastructure buildout thesis and could drive the guided 15.6-18.6% FY2026 revenue growth [1]</w:t>
      </w:r>
    </w:p>
    <w:p>
      <w:pPr>
        <w:spacing w:before="40" w:after="40"/>
        <w:ind w:left="283"/>
      </w:pPr>
      <w:r>
        <w:rPr>
          <w:rFonts w:ascii="Calibri" w:hAnsi="Calibri"/>
          <w:b/>
          <w:color w:val="4A6B25"/>
          <w:sz w:val="20"/>
        </w:rPr>
        <w:t xml:space="preserve">2. </w:t>
      </w:r>
      <w:r>
        <w:rPr>
          <w:rFonts w:ascii="Calibri" w:hAnsi="Calibri"/>
          <w:b w:val="0"/>
          <w:color w:val="3A4A28"/>
          <w:sz w:val="20"/>
        </w:rPr>
        <w:t>A sustained return to GAAP profitability, building on the small Q2 2026 adjusted net profit, would materially improve the Infrastructure sub-score currently depressed by negative ROE and margin [1][4]</w:t>
      </w:r>
    </w:p>
    <w:p>
      <w:pPr>
        <w:spacing w:before="40" w:after="40"/>
        <w:ind w:left="283"/>
      </w:pPr>
      <w:r>
        <w:rPr>
          <w:rFonts w:ascii="Calibri" w:hAnsi="Calibri"/>
          <w:b/>
          <w:color w:val="4A6B25"/>
          <w:sz w:val="20"/>
        </w:rPr>
        <w:t xml:space="preserve">3. </w:t>
      </w:r>
      <w:r>
        <w:rPr>
          <w:rFonts w:ascii="Calibri" w:hAnsi="Calibri"/>
          <w:b w:val="0"/>
          <w:color w:val="3A4A28"/>
          <w:sz w:val="20"/>
        </w:rPr>
        <w:t>Appointment of a permanent CEO after more than two years of interim leadership could reduce governance uncertainty and support institutional investor confidence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Heavy leverage (D/E ~309%, at the scoring floor) funding an aggressive capex program (RMB10-12B in 2026) leaves VNET exposed to rising financing costs or any slowdown in AI/hyperscaler demand [1][4]</w:t>
      </w:r>
    </w:p>
    <w:p>
      <w:pPr>
        <w:spacing w:before="40" w:after="40"/>
        <w:ind w:left="283"/>
      </w:pPr>
      <w:r>
        <w:rPr>
          <w:rFonts w:ascii="Calibri" w:hAnsi="Calibri"/>
          <w:b/>
          <w:color w:val="4A6B25"/>
          <w:sz w:val="20"/>
        </w:rPr>
        <w:t xml:space="preserve">2. </w:t>
      </w:r>
      <w:r>
        <w:rPr>
          <w:rFonts w:ascii="Calibri" w:hAnsi="Calibri"/>
          <w:b w:val="0"/>
          <w:color w:val="3A4A28"/>
          <w:sz w:val="20"/>
        </w:rPr>
        <w:t>VIE structure and broader US-listed China ADR regulatory risk — including PRC restrictions on foreign investment in telecom-licensed businesses and cybersecurity/data oversight — remain material and largely uninsurable risks for US investors [2]</w:t>
      </w:r>
    </w:p>
    <w:p>
      <w:pPr>
        <w:spacing w:before="40" w:after="40"/>
        <w:ind w:left="283"/>
      </w:pPr>
      <w:r>
        <w:rPr>
          <w:rFonts w:ascii="Calibri" w:hAnsi="Calibri"/>
          <w:b/>
          <w:color w:val="4A6B25"/>
          <w:sz w:val="20"/>
        </w:rPr>
        <w:t xml:space="preserve">3. </w:t>
      </w:r>
      <w:r>
        <w:rPr>
          <w:rFonts w:ascii="Calibri" w:hAnsi="Calibri"/>
          <w:b w:val="0"/>
          <w:color w:val="3A4A28"/>
          <w:sz w:val="20"/>
        </w:rPr>
        <w:t>Prolonged interim-CEO leadership (since April 2024) during a period of major strategic capital allocation decisions raises execution and governance-continuity concerns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VNET is itself AI infrastructure — it cannot be disrupted by the technology it is built to house and power. Rising AI/GPU compute demand is the primary driver of VNET's wholesale IDC business, with 862MW of new orders secured in H1 2026 alone and total orders/reservations exceeding 1.2GW, making AI adoption a direct demand tailwind rather than a threat [1]. AI Opportunity (1/1): Wholesale IDC revenue (increasingly AI/GPU-capacity driven) grew 29.3% YoY to RMB1.10B in Q2 2026 alone, a specific, quantified, and accelerating AI-linked revenue stream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VNET Group Q2 2026 unaudited financial results and Q2 2026 earnings call — PRNewswire, Investing.com, Yahoo Finance, TradingKey, August 2026</w:t>
      </w:r>
    </w:p>
    <w:p>
      <w:pPr>
        <w:spacing w:before="20" w:after="20"/>
        <w:ind w:left="170"/>
      </w:pPr>
      <w:r>
        <w:rPr>
          <w:rFonts w:ascii="Calibri" w:hAnsi="Calibri"/>
          <w:b/>
          <w:color w:val="4A6B25"/>
          <w:sz w:val="15"/>
        </w:rPr>
        <w:t xml:space="preserve">2. </w:t>
      </w:r>
      <w:r>
        <w:rPr>
          <w:rFonts w:ascii="Calibri" w:hAnsi="Calibri"/>
          <w:b w:val="0"/>
          <w:color w:val="3A4A28"/>
          <w:sz w:val="17"/>
        </w:rPr>
        <w:t>VNET Group leadership and management team, MatrixOne AI-native platform, Ulanqab Green G-watt AIDC facility — VNET Group corporate site, PRNewswire</w:t>
      </w:r>
    </w:p>
    <w:p>
      <w:pPr>
        <w:spacing w:before="20" w:after="20"/>
        <w:ind w:left="170"/>
      </w:pPr>
      <w:r>
        <w:rPr>
          <w:rFonts w:ascii="Calibri" w:hAnsi="Calibri"/>
          <w:b/>
          <w:color w:val="4A6B25"/>
          <w:sz w:val="15"/>
        </w:rPr>
        <w:t xml:space="preserve">3. </w:t>
      </w:r>
      <w:r>
        <w:rPr>
          <w:rFonts w:ascii="Calibri" w:hAnsi="Calibri"/>
          <w:b w:val="0"/>
          <w:color w:val="3A4A28"/>
          <w:sz w:val="17"/>
        </w:rPr>
        <w:t>VNET Group Form 20-F FY2024 — VIE structure and PRC regulatory risk disclosures; VNET 2024 ESG Report, SEC filings</w:t>
      </w:r>
    </w:p>
    <w:p>
      <w:pPr>
        <w:spacing w:before="20" w:after="20"/>
        <w:ind w:left="170"/>
      </w:pPr>
      <w:r>
        <w:rPr>
          <w:rFonts w:ascii="Calibri" w:hAnsi="Calibri"/>
          <w:b/>
          <w:color w:val="4A6B25"/>
          <w:sz w:val="15"/>
        </w:rPr>
        <w:t xml:space="preserve">4. </w:t>
      </w:r>
      <w:r>
        <w:rPr>
          <w:rFonts w:ascii="Calibri" w:hAnsi="Calibri"/>
          <w:b w:val="0"/>
          <w:color w:val="3A4A28"/>
          <w:sz w:val="17"/>
        </w:rPr>
        <w:t>StockAnalysis.com — VNET key statistics, financial ratios, and financial statements,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