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ABEO</w:t>
      </w:r>
      <w:r>
        <w:rPr>
          <w:rFonts w:ascii="Calibri" w:hAnsi="Calibri"/>
          <w:b/>
          <w:color w:val="1A2010"/>
          <w:sz w:val="40"/>
        </w:rPr>
        <w:t xml:space="preserve">  Abeona Therapeutics Inc.</w:t>
      </w:r>
    </w:p>
    <w:p>
      <w:pPr>
        <w:spacing w:after="120"/>
      </w:pPr>
      <w:r>
        <w:rPr>
          <w:rFonts w:ascii="Calibri" w:hAnsi="Calibri"/>
          <w:b/>
          <w:color w:val="6E8450"/>
          <w:sz w:val="18"/>
        </w:rPr>
        <w:t>GROWTH SLEEVE · 2026-08-04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Abeona Therapeutics Inc. is a commercial-stage biopharmaceutical company developing gene and cell therapies for life-threatening rare diseases. Its lead product ZEVASKYN (prademagene zamikeracel) is an autologous cell-based gene therapy for recessive dystrophic epidermolysis bullosa (RDEB), the first and only FDA-approved treatment for this devastating condition. Pipeline includes ABO-503 (X-linked retinoschisis), ABO-504 (Stargardt disease), and ABO-505 (autosomal dominant optic atrophy) on the proprietary AIM vector platform. Founded in 1974, headquartered in Cleveland, Ohio. Market cap approximately $270 million.</w:t>
      </w:r>
    </w:p>
    <w:p>
      <w:r>
        <w:rPr>
          <w:rFonts w:ascii="Calibri" w:hAnsi="Calibri"/>
          <w:b/>
          <w:color w:val="6E8450"/>
          <w:sz w:val="18"/>
        </w:rPr>
        <w:t>226 Employees · https://www.abeonatherapeutics.com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Abeona achieved FDA approval for ZEVASKYN in May 2024, the first-ever gene therapy for RDEB, and demonstrated accelerating commercial traction — Q1 2026 revenue reached $8.72M (three patients at ~$2.9M average), up from $2.4M in Q4 2025 (one patient), significantly beating the $4.62M consensus estimate [1]. This represents a transformative pivot from a development-stage company to a commercial entity creating an entirely new treatment category. AI Deployment (0/2): No AI-powered products or quantified AI-driven internal efficiency gains; drug development and manufacturing remain traditional biological processes [3]. Market Share Leadership (2/2): ZEVASKYN is the only FDA-approved gene therapy for RDEB globally, giving Abeona 100% market share in a category it created. The permanent CMS J-code effective January 2026 validates reimbursement infrastructure [1]. Product Pipeline (1/2): Three additional AAV-based gene therapy candidates (ABO-503, ABO-504, ABO-505) targeting inherited retinal diseases are in development on the AIM vector platform, but remain in early clinical stages [2][3]. R&amp;D Intensity (1/1): R&amp;D investment substantially exceeds product revenue as the company funds clinical programs across four indications while scaling ZEVASKYN commercial manufacturing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Abeona's mission — 'Transforming Lives Through the Promise of Genetic Medicine' — is specific, meaningful, and directly connected to patient impact [3]. RDEB patients (children and adults with 'butterfly skin' disease) face a devastating genetic condition with no prior treatment, making Abeona's work genuinely life-changing. The addition of a Chief People Officer (Gianine Esposito) suggests growing intentionality around organizational values. Community Impact (1/2): ZEVASKYN directly serves an ultra-rare patient population (~3,000 RDEB patients in the U.S.) that previously had no treatment options, representing meaningful health impact for an underserved community [3]. Employee Retention (0/2): Glassdoor reviews flag 'terrible turnover at all levels' and concerns about leadership hiring former colleagues rather than promoting internal talent, indicating cultural challenges during the critical commercial launch phase [5]. Insider Buying (1/2): CEO Seshadri holds significant equity and has led since 2021 (5 years), demonstrating commitment, but no meaningful net insider buying identified in recent months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trailing metrics. IMPORTANT CAVEAT: Trailing financial metrics are significantly distorted by a one-time $71M net income event in 2025 (milestone payment), which inflates ROE, profit margin, and PE ratio beyond their sustainable operating levels [4]. The Q1 2026 operating reality shows $17.1M net loss on $8.72M revenue with $23.1M quarterly cash burn [1]. Balance sheet remains strong with D/E of 15.7%, approximately $168M cash (after Q1 burn), and only $25M debt, providing roughly 7 quarters of runway at current burn rates. ZEVASKYN revenue is accelerating (262% sequential growth Q4-to-Q1), and the company beat consensus significantly ($8.72M vs $4.62M expected), pointing toward potential operating inflection as patient volumes scale [1]. Infrastructure score of 9 reflects the mechanically calculated trailing metrics; the operating score on current-quarter data alone would be significantly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Abeona has a genuine Just Cause in treating devastating rare diseases, and CEO Seshadri's 5-year tenure demonstrates commitment. However, the company's short commercial history, high employee turnover flagged by Glassdoor reviews, monopoly position without competitive learning, and governance changes (tightened shareholder meeting rules, rejected governance amendment, board member resignation) create fragility that Sinek would view as finite-game vulnerability. The company is playing to survive its commercial launch, not yet playing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Abeona's cause — bringing gene therapies to patients with life-threatening rare diseases where no treatment existed — is genuine, service-oriented, and idealistic [3]. The RDEB patient community's deep engagement validates the mission. ZEVASKYN's FDA approval and commercial launch demonstrate the cause translating into reality. However, the cause hasn't been tested through decades of execution or leadership transitions; CEO Seshadri has led since 2021 and the company became commercial only in 2024.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report 'terrible turnover at all levels' and criticism that new leadership brings in former colleagues rather than promoting internal talent, creating a low-trust dynamic where existing employees feel overlooked [5]. The appointment of a Chief People Officer suggests awareness of cultural challenges, but board member Michael Amoroso's resignation before the 2026 annual meeting and shareholder rejection of governance changes indicate organizational friction extends to the board level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only approved RDEB gene therapy globally, Abeona has no direct worthy rival in its core market [1]. The company's competitive positioning is defined by monopoly rather than a learning-oriented relationship with competitors. No evidence of management referencing peers'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Abeona's transformation from PlasmaTech Biopharmaceuticals through multiple strategic pivots to become a commercial gene therapy company — culminating in ZEVASKYN FDA approval — demonstrates meaningful adaptability [2][3]. The AIM vector platform approach enables pipeline expansion into new disease areas (retinal diseases). However, these pivots were incremental biotech evolution rather than the kind of transformative self-reinvention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Seshadri navigated ZEVASKYN through FDA approval and commercial launch while the company burned ~$56M annually, demonstrating conviction in the gene therapy vision [1][4]. Pricing ZEVASKYN at ~$2.9M per patient required courage in an environment where gene therapy pricing faces scrutiny. However, the company has not yet faced a test where profitable activities were sacrificed for long-term purpose — it remains in launch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Abeona is a rare commercial-stage gene therapy company with the first and only FDA-approved treatment for RDEB (ZEVASKYN), demonstrating accelerating commercial momentum — Q1 2026 revenue of $8.72M from three patients at ~$2.9M average significantly beat the $4.62M consensus estimate, up 262% sequentially from $2.4M in Q4 2025 [1]. The CMS permanent J-code effective January 2026 removes reimbursement friction, and the company is expanding Qualified Treatment Centers and manufacturing capacity to meet growing demand. With approximately $168M cash, low debt (D/E 15.7%), and a pipeline of three additional gene therapy candidates on the AIM vector platform targeting inherited retinal diseases, Abeona has both runway and scientific foundation to become a multi-product rare disease platform [2][3]. The Inspire score of 39 (ALIGNED) with zero negative attributions reflects the company's genuine patient-focused mission.</w:t>
      </w:r>
    </w:p>
    <w:p>
      <w:pPr>
        <w:spacing w:after="120"/>
      </w:pPr>
      <w:r>
        <w:rPr>
          <w:rFonts w:ascii="Calibri" w:hAnsi="Calibri"/>
          <w:b w:val="0"/>
          <w:color w:val="3A4A28"/>
          <w:sz w:val="20"/>
        </w:rPr>
        <w:t>The bear case centers on commercial execution risk and financial sustainability. Despite the Q1 2026 beat, ZEVASKYN treated only three patients — the total addressable RDEB market is approximately 3,000 U.S. patients, capping peak revenue even with perfect execution [1]. The company burned $23.1M in Q1 2026 cash against $8.72M revenue, and the trailing financial metrics (PE 5.22, ROE 35%, margin 12.2%) are heavily distorted by a one-time $71M milestone payment in 2025 — the operational reality is a company losing ~$17M per quarter [1][4]. At ~$168M remaining cash and $23M quarterly burn, the company has approximately 7 quarters of runway before requiring additional capital. Employee turnover flagged on Glassdoor threatens commercial execution during the critical launch ramp. Board member resignation, shareholder rejection of governance amendments, and the company's request for 3.1M additional equity shares signal potential dilution ahead [5][6]. The $270M market cap embeds significant pipeline optionality that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ZEVASKYN commercial acceleration from 1 patient (Q4 2025) to 3 patients (Q1 2026) to potentially 5-8+ patients per quarter as additional QTCs come online and awareness grows among dermatologists and geneticists [1]</w:t>
      </w:r>
    </w:p>
    <w:p>
      <w:pPr>
        <w:spacing w:before="40" w:after="40"/>
        <w:ind w:left="283"/>
      </w:pPr>
      <w:r>
        <w:rPr>
          <w:rFonts w:ascii="Calibri" w:hAnsi="Calibri"/>
          <w:b/>
          <w:color w:val="4A6B25"/>
          <w:sz w:val="20"/>
        </w:rPr>
        <w:t xml:space="preserve">2. </w:t>
      </w:r>
      <w:r>
        <w:rPr>
          <w:rFonts w:ascii="Calibri" w:hAnsi="Calibri"/>
          <w:b w:val="0"/>
          <w:color w:val="3A4A28"/>
          <w:sz w:val="20"/>
        </w:rPr>
        <w:t>Pipeline readouts from ABO-503 (X-linked retinoschisis) clinical data could validate the AIM vector platform and unlock multi-billion-dollar optionality across inherited retinal diseases [2][3]</w:t>
      </w:r>
    </w:p>
    <w:p>
      <w:pPr>
        <w:spacing w:before="40" w:after="40"/>
        <w:ind w:left="283"/>
      </w:pPr>
      <w:r>
        <w:rPr>
          <w:rFonts w:ascii="Calibri" w:hAnsi="Calibri"/>
          <w:b/>
          <w:color w:val="4A6B25"/>
          <w:sz w:val="20"/>
        </w:rPr>
        <w:t xml:space="preserve">3. </w:t>
      </w:r>
      <w:r>
        <w:rPr>
          <w:rFonts w:ascii="Calibri" w:hAnsi="Calibri"/>
          <w:b w:val="0"/>
          <w:color w:val="3A4A28"/>
          <w:sz w:val="20"/>
        </w:rPr>
        <w:t>Potential profitability inflection as ZEVASKYN revenue scales — the therapy generates ~$2.9M per patient against cost of sales of ~$0.9M per patient (69% gross margin in Q1 2026), driving operating leverage as volume grows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Small total addressable market (~3,000 RDEB patients in U.S.) caps peak revenue potential, and the $2.9M per-patient price creates payer scrutiny risk and potential access barriers [1]</w:t>
      </w:r>
    </w:p>
    <w:p>
      <w:pPr>
        <w:spacing w:before="40" w:after="40"/>
        <w:ind w:left="283"/>
      </w:pPr>
      <w:r>
        <w:rPr>
          <w:rFonts w:ascii="Calibri" w:hAnsi="Calibri"/>
          <w:b/>
          <w:color w:val="4A6B25"/>
          <w:sz w:val="20"/>
        </w:rPr>
        <w:t xml:space="preserve">2. </w:t>
      </w:r>
      <w:r>
        <w:rPr>
          <w:rFonts w:ascii="Calibri" w:hAnsi="Calibri"/>
          <w:b w:val="0"/>
          <w:color w:val="3A4A28"/>
          <w:sz w:val="20"/>
        </w:rPr>
        <w:t>Trailing financial metrics distorted by one-time $71M milestone — operational cash burn of $23.1M per quarter against ~$168M cash provides only ~7 quarters of runway without additional capital [1][4]</w:t>
      </w:r>
    </w:p>
    <w:p>
      <w:pPr>
        <w:spacing w:before="40" w:after="40"/>
        <w:ind w:left="283"/>
      </w:pPr>
      <w:r>
        <w:rPr>
          <w:rFonts w:ascii="Calibri" w:hAnsi="Calibri"/>
          <w:b/>
          <w:color w:val="4A6B25"/>
          <w:sz w:val="20"/>
        </w:rPr>
        <w:t xml:space="preserve">3. </w:t>
      </w:r>
      <w:r>
        <w:rPr>
          <w:rFonts w:ascii="Calibri" w:hAnsi="Calibri"/>
          <w:b w:val="0"/>
          <w:color w:val="3A4A28"/>
          <w:sz w:val="20"/>
        </w:rPr>
        <w:t>High employee turnover at all levels during the critical commercial launch phase, board governance friction, and potential share dilution from 3.1M additional equity authorization could impair execution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Abeona's core business — autologous cell-based gene therapy manufacturing — requires harvesting patient skin cells, genetically modifying them in a GMP facility, expanding the engineered tissue, and re-administering it to each individual patient [1][2]. This is a physical-world, highly regulated, patient-specific process that AI structurally cannot replicate or substitute. FDA regulatory requirements, the biological complexity of gene therapy production, and the impossibility of digitizing personalized cell manufacturing create strong structural immunity to AI disruption. AI may help optimize manufacturing yields, vector design, or patient identification, but it cannot replace the therapy itself. AI Opportunity (0/1): Abeona does not generate quantifiable revenue from AI products or services; while AI tools may be used internally in R&amp;D for vector optimization, no AI-specific revenue or customer-facing AI products exist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Abeona Therapeutics Q1 2026 Earnings Release — Revenue $8.72M, three patients treated, beat $4.62M consensus, May 2026</w:t>
      </w:r>
    </w:p>
    <w:p>
      <w:pPr>
        <w:spacing w:before="20" w:after="20"/>
        <w:ind w:left="170"/>
      </w:pPr>
      <w:r>
        <w:rPr>
          <w:rFonts w:ascii="Calibri" w:hAnsi="Calibri"/>
          <w:b/>
          <w:color w:val="4A6B25"/>
          <w:sz w:val="15"/>
        </w:rPr>
        <w:t xml:space="preserve">2. </w:t>
      </w:r>
      <w:r>
        <w:rPr>
          <w:rFonts w:ascii="Calibri" w:hAnsi="Calibri"/>
          <w:b w:val="0"/>
          <w:color w:val="3A4A28"/>
          <w:sz w:val="17"/>
        </w:rPr>
        <w:t>Abeona Therapeutics Corporate Fact Sheet and Pipeline Update — AIM Vector Platform, ABO-503/504/505, May 2026</w:t>
      </w:r>
    </w:p>
    <w:p>
      <w:pPr>
        <w:spacing w:before="20" w:after="20"/>
        <w:ind w:left="170"/>
      </w:pPr>
      <w:r>
        <w:rPr>
          <w:rFonts w:ascii="Calibri" w:hAnsi="Calibri"/>
          <w:b/>
          <w:color w:val="4A6B25"/>
          <w:sz w:val="15"/>
        </w:rPr>
        <w:t xml:space="preserve">3. </w:t>
      </w:r>
      <w:r>
        <w:rPr>
          <w:rFonts w:ascii="Calibri" w:hAnsi="Calibri"/>
          <w:b w:val="0"/>
          <w:color w:val="3A4A28"/>
          <w:sz w:val="17"/>
        </w:rPr>
        <w:t>Abeona Therapeutics Management Team and Corporate Website — CEO Seshadri, mission statement,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Zacks Investment Research — ABEO Financial Analysis, revenue projections, May 2026</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Abeona Therapeutics, employee turnover concerns,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Abeona Therapeutics 2026 Annual Meeting — Board member resignation, governance amendment rejection, equity share authorization,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