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ACH</w:t>
      </w:r>
      <w:r>
        <w:rPr>
          <w:rFonts w:ascii="Calibri" w:hAnsi="Calibri"/>
          <w:b/>
          <w:color w:val="1A2010"/>
          <w:sz w:val="40"/>
        </w:rPr>
        <w:t xml:space="preserve">  Accendra Health, Inc.</w:t>
      </w:r>
    </w:p>
    <w:p>
      <w:pPr>
        <w:spacing w:after="120"/>
      </w:pPr>
      <w:r>
        <w:rPr>
          <w:rFonts w:ascii="Calibri" w:hAnsi="Calibri"/>
          <w:b/>
          <w:color w:val="6E8450"/>
          <w:sz w:val="18"/>
        </w:rPr>
        <w:t>GROWTH SLEEVE · 2026-08-03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Home Health Care Services · NYSE · United States</w:t>
      </w:r>
    </w:p>
    <w:p>
      <w:pPr>
        <w:spacing w:after="80"/>
      </w:pPr>
      <w:r>
        <w:rPr>
          <w:rFonts w:ascii="Calibri" w:hAnsi="Calibri"/>
          <w:b w:val="0"/>
          <w:color w:val="3A4A28"/>
          <w:sz w:val="20"/>
        </w:rPr>
        <w:t>Accendra Health, Inc. (formerly Owens &amp; Minor) is a pure-play home-based care company operating through its Apria and Byram Healthcare brands, providing in-home care for diabetes treatment, respiratory therapy, sleep apnea (CPAP), and other durable medical equipment and supplies. The company completed its transformation in December 2025 by divesting the Products &amp; Healthcare Services segment for $375M and rebranding from Owens &amp; Minor.</w:t>
      </w:r>
    </w:p>
    <w:p>
      <w:r>
        <w:rPr>
          <w:rFonts w:ascii="Calibri" w:hAnsi="Calibri"/>
          <w:b/>
          <w:color w:val="6E8450"/>
          <w:sz w:val="18"/>
        </w:rPr>
        <w:t>6,500 Employees · https://www.accendrahealth.com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December 2025 rebrand from Owens &amp; Minor to Accendra Health and $375M divestiture of the Products &amp; Healthcare Services segment represents a genuine business model transformation to pure-play home-based care, though it is restructuring rather than product-led innovation [1][2]. AI Deployment (1/2): Adopted Palantir AIP Platform and Palantir Foundry in 2024 for operational AI across logistics and patient management, but no specific revenue gains or cost savings have been publicly quantified [3]. Market Share (1/2): Apria is a meaningful player in the U.S. home respiratory therapy and CPAP services market but is not the category leader in a highly fragmented home health landscape competing against Lincare, AdaptHealth, and BrightSpring [1]. Product Pipeline (0/2): No next-generation products or services announced with specific timelines; growth strategy is incremental service expansion and payer diversification. R&amp;D Intensity (0/1): Healthcare services companies have minimal R&amp;D spend; no evidence of above-average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'Bringing Care to Life' is clear and identifies what the company does for whom, but is not distinctive — it could belong to any home health company and does not articulate a deeper purpose beyond the obvious service [2]. Community Impact (0/2): No evidence of distinctive charitable programs, foundation work, or community investment beyond standard corporate practices found in research. Employee Retention (0/2): Comparably rates the executive team 'C-' (bottom 30%), two senior executives departed immediately after the December 2025 divestiture closed, and the simultaneous rebrand, ticker change, and leadership exits signal organizational instability [3]. Insider Buying (0/2): No meaningful net insider buying identified in the last 12 months; with the stock declining from $9+ to ~$3, the absence of insider purchases at distressed valuations is notable.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~872,000 avg volume x $3.09 = $2.7M daily liquidity. Calculated mechanically on available metrics. Post-divestiture gross margins surged to 45.95% from ~19%, and Q1 2026 EBITDA margin reached ~13%, demonstrating operational improvement [1][4]. However, GAAP net margin remains deeply negative at -39.85% due to restructuring charges and debt servicing costs. D/E is -4.67 (negative shareholders' equity, scoring 0), ROE is deeply negative (scoring 0), and revenue declined 6.8% YoY in Q1 2026 due to the loss of a major commercial payer contract [1]. FY2026 guidance of $2.55-2.65B revenue and $335-355M EBITDA provides some forward visibility [1]. Forward P/E of ~3.0 and Forward PEG of ~0.6 score well, reflecting low valuation relative to expected earnings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Accendra Health is mid-transformation — having divested its 142-year-old distribution business and rebranded. While the existential flexibility of abandoning the legacy Owens &amp; Minor identity is impressive, the transformation was driven by financial pressure (debt reduction, margin improvement on a sub-$300M market cap) rather than a clear Just Cause, and organizational instability during the transition period undermines trust and leadership credibility.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'Bringing Care to Life' is a cause statement that exists but reads as marketing copy — interchangeable with any home health company's tagline. Leadership references it in investor materials, but the strategic decisions driving the transformation (the $375M divestiture, rebrand, payer contract losses) appear driven by financial engineering and balance sheet repair rather than a vision of a better future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Executive team rated 'C-' by Comparably (bottom 30%), with two senior executives departing immediately upon closing the Products &amp; Healthcare Services sale in December 2025 [3]. The simultaneous rebrand, ticker change, business model pivot, and leadership exits create significant organizational instability. A new COO (Perry Bernocchi) was appointed in March 2026, signaling ongoing leadership reshuffling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investor communications frame the home health market in terms of 'market leadership' and competitive positioning rather than learning from rivals like Lincare, AdaptHealth, or BrightSpring Health Services.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company fundamentally reinvented itself — selling its 142-year-old core distribution business and the Owens &amp; Minor brand for $375M, changing its name, ticker, and strategic identity to become a pure-play home-based care company [1][2]. This is among the most dramatic strategic pivots in recent corporate history, scoring maximum points for existential flexibility regardless of whether the pivot succeeds.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divestiture and rebrand are bold moves, they appear driven by financial necessity — repairing a stressed balance sheet, shedding a low-margin segment, and reducing debt — rather than investing in long-term capability from a position of strength. CEO Ed Pesicka's tenure since 2019 has been marked by declining stock price (from $30+ to ~$3), executive turnover, and reactive strategic shifts that suggest survival mode rather than courageous vision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Accendra Health is a post-transformation turnaround story with improving fundamentals. Q1 2026 beat EPS expectations, gross margins surged to ~46% from 19% pre-divestiture, and EBITDA margins reached ~13% — demonstrating the pure-play home-based care model can generate meaningful cash flow [1][4]. FY2026 guidance of $2.55-2.65B revenue and $335-355M EBITDA provides a path to stabilization. At a forward P/E of ~3x and PEG of ~0.6, the stock is priced for significant risk but offers substantial upside if the company achieves profitability on an increasingly asset-light, higher-margin business serving the secular tailwind of aging demographics and the shift from institutional to home-based healthcare.</w:t>
      </w:r>
    </w:p>
    <w:p>
      <w:pPr>
        <w:spacing w:after="120"/>
      </w:pPr>
      <w:r>
        <w:rPr>
          <w:rFonts w:ascii="Calibri" w:hAnsi="Calibri"/>
          <w:b w:val="0"/>
          <w:color w:val="3A4A28"/>
          <w:sz w:val="20"/>
        </w:rPr>
        <w:t>The bear case is severe. The stock has declined from $9+ to ~$3 since the transformation began, reflecting market skepticism about execution. GAAP net margin remains -39.85% due to restructuring charges and heavy debt servicing on a negative-equity balance sheet (D/E of -4.67) [4]. The loss of a major commercial payer contract drove Q1 2026 revenue down 6.8% YoY, and the $2.55-2.65B FY2026 guidance implies continued revenue contraction [1]. Leadership instability — two executives departed post-divestiture, the executive team receives a 'C-' rating, and the CEO has presided over an 85%+ stock price decline — raises questions about whether this management team can execute the turnaround. The 'State Owned Enterprise' Inspire negative attribution appears to be a legacy data mapping from when the ACH ticker belonged to Aluminum Corporation of China.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EBITDA guidance of $335-355M validates the post-divestiture margin expansion thesis, with potential for upside if the commercial payer contract loss is backfilled</w:t>
      </w:r>
    </w:p>
    <w:p>
      <w:pPr>
        <w:spacing w:before="40" w:after="40"/>
        <w:ind w:left="283"/>
      </w:pPr>
      <w:r>
        <w:rPr>
          <w:rFonts w:ascii="Calibri" w:hAnsi="Calibri"/>
          <w:b/>
          <w:color w:val="4A6B25"/>
          <w:sz w:val="20"/>
        </w:rPr>
        <w:t xml:space="preserve">2. </w:t>
      </w:r>
      <w:r>
        <w:rPr>
          <w:rFonts w:ascii="Calibri" w:hAnsi="Calibri"/>
          <w:b w:val="0"/>
          <w:color w:val="3A4A28"/>
          <w:sz w:val="20"/>
        </w:rPr>
        <w:t>Aging U.S. demographics and Medicare policy shifts favoring home-based care over institutional settings provide a secular growth tailwind for Apria and Byram Healthcare brands</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from divestiture proceeds and improved cash flow could reduce the negative equity position and re-rate the stock toward analyst target of $4.49 (60%+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shareholders' equity and deeply negative GAAP margins create existential risk if the turnaround timeline extends beyond 2027 or if cash flow disappoints relative to $335-355M EBITDA guidance</w:t>
      </w:r>
    </w:p>
    <w:p>
      <w:pPr>
        <w:spacing w:before="40" w:after="40"/>
        <w:ind w:left="283"/>
      </w:pPr>
      <w:r>
        <w:rPr>
          <w:rFonts w:ascii="Calibri" w:hAnsi="Calibri"/>
          <w:b/>
          <w:color w:val="4A6B25"/>
          <w:sz w:val="20"/>
        </w:rPr>
        <w:t xml:space="preserve">2. </w:t>
      </w:r>
      <w:r>
        <w:rPr>
          <w:rFonts w:ascii="Calibri" w:hAnsi="Calibri"/>
          <w:b w:val="0"/>
          <w:color w:val="3A4A28"/>
          <w:sz w:val="20"/>
        </w:rPr>
        <w:t>Loss of a major commercial payer contract in Q1 2026 demonstrates customer concentration risk and the vulnerability of the revenue base during the transition period</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two executive departures, a 'C-' executive team rating, and an 85%+ stock price decline under current CEO raises fundamental questions about management's ability to execute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Accendra Health's core business — physical delivery, setup, and management of durable medical equipment (CPAP devices, oxygen concentrators, diabetes supplies) in patients' homes — requires in-person clinical assessments, device fitting, and ongoing patient interaction that AI structurally cannot displace [1]. The heavily regulated Medicare/Medicaid reimbursement environment, FDA device requirements, and state licensing create additional barriers to AI substitution. Some back-office functions (scheduling, billing, prior authorization) could see AI-driven efficiency gains, but the core revenue model is physically grounded and regulation-protected. AI Opportunity (0/1): The company uses Palantir AIP for internal operational optimization but does not generate revenue from AI-related products or services offered to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State Owned Enterprise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Accendra Health Q1 2026 Earnings Release and Investor Presentation — margins surge post-divestiture, EPS beat, FY2026 guidance of $2.55-2.65B revenue and $335-355M EBITDA, May 2026</w:t>
      </w:r>
    </w:p>
    <w:p>
      <w:pPr>
        <w:spacing w:before="20" w:after="20"/>
        <w:ind w:left="170"/>
      </w:pPr>
      <w:r>
        <w:rPr>
          <w:rFonts w:ascii="Calibri" w:hAnsi="Calibri"/>
          <w:b/>
          <w:color w:val="4A6B25"/>
          <w:sz w:val="15"/>
        </w:rPr>
        <w:t xml:space="preserve">2. </w:t>
      </w:r>
      <w:r>
        <w:rPr>
          <w:rFonts w:ascii="Calibri" w:hAnsi="Calibri"/>
          <w:b w:val="0"/>
          <w:color w:val="3A4A28"/>
          <w:sz w:val="17"/>
        </w:rPr>
        <w:t>Accendra Health corporate website — 'Bringing Care to Life' mission and brand overview, accendrahealth.com,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Accendra Health leadership changes — COO appointment March 2026, Comparably executive team rating 'C-', two executive departures post-divestiture; Investing.com,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Accendra Health financial data — stock price $3.09, D/E -4.67, gross margin 45.95%, net margin -39.85%, avg volume 872K; StockAnalysis, GuruFocus,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