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ARCC</w:t>
      </w:r>
      <w:r>
        <w:rPr>
          <w:rFonts w:ascii="Calibri" w:hAnsi="Calibri"/>
          <w:b/>
          <w:color w:val="1A2010"/>
          <w:sz w:val="40"/>
        </w:rPr>
        <w:t xml:space="preserve">  Ares Capital Corporation</w:t>
      </w:r>
    </w:p>
    <w:p>
      <w:pPr>
        <w:spacing w:after="120"/>
      </w:pPr>
      <w:r>
        <w:rPr>
          <w:rFonts w:ascii="Calibri" w:hAnsi="Calibri"/>
          <w:b/>
          <w:color w:val="6E8450"/>
          <w:sz w:val="18"/>
        </w:rPr>
        <w:t>DIVIDEND SLEEVE · 2026-08-22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Business Development Company · NASDAQ · United States</w:t>
      </w:r>
    </w:p>
    <w:p>
      <w:pPr>
        <w:spacing w:after="80"/>
      </w:pPr>
      <w:r>
        <w:rPr>
          <w:rFonts w:ascii="Calibri" w:hAnsi="Calibri"/>
          <w:b w:val="0"/>
          <w:color w:val="3A4A28"/>
          <w:sz w:val="20"/>
        </w:rPr>
        <w:t>Ares Capital Corporation is the largest publicly traded business development company (BDC) in the United States, providing direct lending and other financing solutions to middle-market companies. Managed by Ares Management, ARCC invests primarily in first and second lien senior secured loans, mezzanine debt, and equity to private companies across a variety of industries.</w:t>
      </w:r>
    </w:p>
    <w:p>
      <w:r>
        <w:rPr>
          <w:rFonts w:ascii="Calibri" w:hAnsi="Calibri"/>
          <w:b/>
          <w:color w:val="6E8450"/>
          <w:sz w:val="18"/>
        </w:rPr>
        <w:t>https://www.arcc.com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ARCC has expanded its addressable market incrementally through portfolio growth and launched the first-ever BDC Commercial Paper program in June 2026, securing lower-cost short-term capital [1][2]. AI Deployment (1/2): Parent Ares Management has reviewed 160+ AI use cases and deployed approximately 25 across operations, including portfolio monitoring and underwriting efficiency, though no AI products are shipped externally [7]. Market Share Leadership (2/2): ARCC is the undisputed largest BDC by total assets (~$27B portfolio) and market capitalization, with dominant scale advantages in middle-market origination and syndication capacity [3]. Product Pipeline (0/2): No meaningful next-generation product pipeline beyond incremental portfolio expansion. R&amp;D Intensity (0/1): Not applicable to BDC model.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Ares Capital's purpose centers on providing flexible, customized financing solutions to help middle-market companies grow — a clear value proposition but not a distinctive or transcendent purpose statement, interchangeable with other direct lenders [6]. Community Impact (1/2): The Ares Charitable Foundation supports education, workforce development, and community programs, though specific dollar amounts and measurable impact data are limited in public disclosures [6]. Employee Retention (0/2): No publicly available retention data, average tenure statistics, or specific evidence of purpose-driven employee loyalty. Insider Buying (1/2): ARCC management conducted insider purchases in May 2026 when the stock yielded above 10%, signaling leadership conviction in dividend sustainability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ARCC's infrastructure benefits from a very low forward P/E of 9.0 and strong profit margins (~43%) typical of a well-managed BDC, along with moderate leverage (D/E of 112%) well within BDC regulatory limits [3][4]. The primary drag is the elevated payout ratio (~119%), which is structurally inherent to the BDC model that requires distributing 90%+ of taxable income, scoring zero on that metric. Dividend consistency is strong at 16+ consecutive years of payments with 4.4% five-year dividend growth CAGR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Ares Capital operates with a competent but fundamentally finite mindset — optimizing returns within the BDC structure rather than pursuing a transformative purpose. The firm's 20+ year track record demonstrates durability, but strategic decisions are driven by spread optimization and portfolio growth rather than a deeper mission to reshape how middle-market companies access capital.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Ares Capital's purpose — providing flexible capital to middle-market companies — is clear and valuable but not a Just Cause in Sinek's framework. It describes what the company does, not a vision of a better future worth sacrificing for. The mission is interchangeable with dozens of competing BDCs and private credit firms [6].</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public evidence of exceptional or poor team trust culture. Ares Management has maintained leadership continuity with Michael Arougheti as CEO since 2018 and Kort Schnabel leading ARCC, suggesting organizational stability. Average for the financial services industry — no red flags but no standout indicators of employee empowerment or psychological safety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ARCC frames itself in competitive terms as the largest BDC, emphasizing scale advantages and market dominance rather than learning from rivals. Management commentary focuses on origination volume and portfolio growth metrics — a finite competitive posture focused on winning market share rather than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ARCC has evolved incrementally from pure middle-market lending to a broader direct lending platform incorporating first lien, second lien, mezzanine, and equity investments, and recently launched its innovative Commercial Paper program [1]. However, these are extensions of the same model, not transformative pivots. The BDC structure itself limits existential flexibility — regulatory constraints define the business boundaries.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Ares Capital continued deploying capital and expanding its portfolio during the 2020 downturn when many competitors pulled back, demonstrating willingness to invest counter-cyclically [2]. Management maintained dividends through recent market volatility. However, these decisions were fundamentally about maximizing returns during dislocations — courageous from a business standpoint but driven by financial opportunity rather than a higher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Ares Capital remains the gold standard among BDCs, offering a ~10% dividend yield supported by a $27B+ diversified portfolio of middle-market loans, dominant origination scale, and the backing of Ares Management's $450B+ AUM platform [1][2]. Q2 2026 net investment income of $0.50/share comfortably covers the $0.48 quarterly dividend, core earnings remain stable, and non-accrual rates are at historically low levels. The Commercial Paper program launch reduces funding costs and demonstrates ARCC's unique ability to access capital markets unavailable to smaller BDCs [1].</w:t>
      </w:r>
    </w:p>
    <w:p>
      <w:pPr>
        <w:spacing w:after="120"/>
      </w:pPr>
      <w:r>
        <w:rPr>
          <w:rFonts w:ascii="Calibri" w:hAnsi="Calibri"/>
          <w:b w:val="0"/>
          <w:color w:val="3A4A28"/>
          <w:sz w:val="20"/>
        </w:rPr>
        <w:t>The bear case centers on interest rate compression squeezing net interest margins as the rate cycle turns — Q1 2026 core EPS already declined 6% YoY from $0.50 to $0.47 [1]. The $1B in AI-exposed software portfolio holdings creates indirect credit risk if AI disruption accelerates defaults among borrowers [7]. The structurally high payout ratio (~119%) leaves minimal cushion for dividend coverage in a sustained downturn, and BDC regulatory requirements limit strategic flexibility. At 9x forward earnings, the market is pricing in execution risk around the rate cycle transition.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Paper program reducing funding costs by an estimated 50-100bps vs. traditional BDC credit facilities, expanding net interest margins</w:t>
      </w:r>
    </w:p>
    <w:p>
      <w:pPr>
        <w:spacing w:before="40" w:after="40"/>
        <w:ind w:left="283"/>
      </w:pPr>
      <w:r>
        <w:rPr>
          <w:rFonts w:ascii="Calibri" w:hAnsi="Calibri"/>
          <w:b/>
          <w:color w:val="4A6B25"/>
          <w:sz w:val="20"/>
        </w:rPr>
        <w:t xml:space="preserve">2. </w:t>
      </w:r>
      <w:r>
        <w:rPr>
          <w:rFonts w:ascii="Calibri" w:hAnsi="Calibri"/>
          <w:b w:val="0"/>
          <w:color w:val="3A4A28"/>
          <w:sz w:val="20"/>
        </w:rPr>
        <w:t>Potential for increased deal flow as private equity sponsors resume M&amp;A activity in the middle market, driving origination volume growth</w:t>
      </w:r>
    </w:p>
    <w:p>
      <w:pPr>
        <w:spacing w:before="40" w:after="40"/>
        <w:ind w:left="283"/>
      </w:pPr>
      <w:r>
        <w:rPr>
          <w:rFonts w:ascii="Calibri" w:hAnsi="Calibri"/>
          <w:b/>
          <w:color w:val="4A6B25"/>
          <w:sz w:val="20"/>
        </w:rPr>
        <w:t xml:space="preserve">3. </w:t>
      </w:r>
      <w:r>
        <w:rPr>
          <w:rFonts w:ascii="Calibri" w:hAnsi="Calibri"/>
          <w:b w:val="0"/>
          <w:color w:val="3A4A28"/>
          <w:sz w:val="20"/>
        </w:rPr>
        <w:t>Dividend sustainability supported by Q2 2026 NII of $0.50/share exceeding $0.48/share payout, with 67 consecutive quarters of stable or growing distributions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compression in 2026-2027 could squeeze net investment income by 10-15% as floating-rate loan yields decline faster than funding costs adjust</w:t>
      </w:r>
    </w:p>
    <w:p>
      <w:pPr>
        <w:spacing w:before="40" w:after="40"/>
        <w:ind w:left="283"/>
      </w:pPr>
      <w:r>
        <w:rPr>
          <w:rFonts w:ascii="Calibri" w:hAnsi="Calibri"/>
          <w:b/>
          <w:color w:val="4A6B25"/>
          <w:sz w:val="20"/>
        </w:rPr>
        <w:t xml:space="preserve">2. </w:t>
      </w:r>
      <w:r>
        <w:rPr>
          <w:rFonts w:ascii="Calibri" w:hAnsi="Calibri"/>
          <w:b w:val="0"/>
          <w:color w:val="3A4A28"/>
          <w:sz w:val="20"/>
        </w:rPr>
        <w:t>Approximately $1 billion in software portfolio investments face medium AI disruption risk, creating potential credit deterioration in an estimated 5-8% of the portfolio</w:t>
      </w:r>
    </w:p>
    <w:p>
      <w:pPr>
        <w:spacing w:before="40" w:after="40"/>
        <w:ind w:left="283"/>
      </w:pPr>
      <w:r>
        <w:rPr>
          <w:rFonts w:ascii="Calibri" w:hAnsi="Calibri"/>
          <w:b/>
          <w:color w:val="4A6B25"/>
          <w:sz w:val="20"/>
        </w:rPr>
        <w:t xml:space="preserve">3. </w:t>
      </w:r>
      <w:r>
        <w:rPr>
          <w:rFonts w:ascii="Calibri" w:hAnsi="Calibri"/>
          <w:b w:val="0"/>
          <w:color w:val="3A4A28"/>
          <w:sz w:val="20"/>
        </w:rPr>
        <w:t>BDC regulatory structure requires 90%+ income distribution, leaving minimal retained earnings buffer for credit losses during a recession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ARCC's core business of direct lending to middle-market companies involves relationship-driven origination, credit underwriting judgment, and bespoke deal structuring that AI cannot readily automate — providing meaningful protection against disruption [7]. However, ARCC disclosed that nearly $1 billion of its software portfolio investments face medium AI disruption risk, creating indirect exposure through potential credit deterioration in AI-vulnerable borrowers [7]. CEO Schnabel acknowledged technology obsolescence as the top risk in the software lending space, and the firm has been actively monitoring AI impact on its portfolio companies. No AI-driven revenue generation (0/1 on AI Opportunity)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Ares Capital Corporation Q1 FY2026 Earnings Release (Form 8-K), April 2026</w:t>
      </w:r>
    </w:p>
    <w:p>
      <w:pPr>
        <w:spacing w:before="20" w:after="20"/>
        <w:ind w:left="170"/>
      </w:pPr>
      <w:r>
        <w:rPr>
          <w:rFonts w:ascii="Calibri" w:hAnsi="Calibri"/>
          <w:b/>
          <w:color w:val="4A6B25"/>
          <w:sz w:val="15"/>
        </w:rPr>
        <w:t xml:space="preserve">2. </w:t>
      </w:r>
      <w:r>
        <w:rPr>
          <w:rFonts w:ascii="Calibri" w:hAnsi="Calibri"/>
          <w:b w:val="0"/>
          <w:color w:val="3A4A28"/>
          <w:sz w:val="17"/>
        </w:rPr>
        <w:t>Ares Capital Corporation Q2 FY2026 Earnings Release (Form 8-K), July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ARCC statistics and valuation,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GuruFocus — ARCC financial data and PE ratios,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GuruFocus — ARCC dividend history and payout ratio,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Ares Management — ESG and Corporate Responsibility page,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GuruFocus — 'Ares Capital Faces AI Disruption Risks with $1B in Software Investments,' 2026</w:t>
      </w:r>
    </w:p>
    <w:p>
      <w:pPr>
        <w:spacing w:before="20" w:after="20"/>
        <w:ind w:left="170"/>
      </w:pPr>
      <w:r>
        <w:rPr>
          <w:rFonts w:ascii="Calibri" w:hAnsi="Calibri"/>
          <w:b/>
          <w:color w:val="4A6B25"/>
          <w:sz w:val="15"/>
        </w:rPr>
        <w:t xml:space="preserve">8. </w:t>
      </w:r>
      <w:r>
        <w:rPr>
          <w:rFonts w:ascii="Calibri" w:hAnsi="Calibri"/>
          <w:b w:val="0"/>
          <w:color w:val="3A4A28"/>
          <w:sz w:val="17"/>
        </w:rPr>
        <w:t>BusinessWire — ARCC Q1 2026 dividend announcement,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