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ARX</w:t>
      </w:r>
      <w:r>
        <w:rPr>
          <w:rFonts w:ascii="Calibri" w:hAnsi="Calibri"/>
          <w:b/>
          <w:color w:val="1A2010"/>
          <w:sz w:val="40"/>
        </w:rPr>
        <w:t xml:space="preserve">  Accelerant Holdings Ltd.</w:t>
      </w:r>
    </w:p>
    <w:p>
      <w:pPr>
        <w:spacing w:after="120"/>
      </w:pPr>
      <w:r>
        <w:rPr>
          <w:rFonts w:ascii="Calibri" w:hAnsi="Calibri"/>
          <w:b/>
          <w:color w:val="6E8450"/>
          <w:sz w:val="18"/>
        </w:rPr>
        <w:t>GROWTH SLEEVE · 2026-08-06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Specialty · NYSE · United States</w:t>
      </w:r>
    </w:p>
    <w:p>
      <w:pPr>
        <w:spacing w:after="80"/>
      </w:pPr>
      <w:r>
        <w:rPr>
          <w:rFonts w:ascii="Calibri" w:hAnsi="Calibri"/>
          <w:b w:val="0"/>
          <w:color w:val="3A4A28"/>
          <w:sz w:val="20"/>
        </w:rPr>
        <w:t>Accelerant Holdings is an insurance technology company that operates a Risk Exchange platform connecting specialty underwriters (Managing General Agents) with risk capital providers. The platform leverages AI-driven risk scoring, machine learning tools for portfolio monitoring, and LLM technology for claims assessment to create a transparent, data-driven marketplace for specialty insurance. Founded by Jeff Radke, the company supports 296 MGAs across 22 countries and went public on the NYSE in 2025. Headquartered in the United States.</w:t>
      </w:r>
    </w:p>
    <w:p>
      <w:r>
        <w:rPr>
          <w:rFonts w:ascii="Calibri" w:hAnsi="Calibri"/>
          <w:b/>
          <w:color w:val="6E8450"/>
          <w:sz w:val="18"/>
        </w:rPr>
        <w:t>https://www.accelins.com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Accelerant scaled from startup to a $3.09B public company in approximately seven years, building a novel Risk Exchange platform that now connects 296 MGAs across 22 countries [1]. Q1 2026 operating revenues rose 57% YoY to $273.3M, and the company projects full-year 2026 revenue of $1.02B [1]. This represents a significant business model innovation in the insurance industry, though it is a single platform rather than multiple transformative pivots. AI Deployment (2/2): Accelerant has deployed AI-driven risk scoring that provides real-time feedback on risk quality, ML tools for portfolio monitoring, and LLM technology for claims assessment [2]. These are shipping products generating revenue, not exploratory pilots. Market Share (1/2): Accelerant is a growing participant in specialty insurance with a distinctive platform model, but it is not yet a category leader against incumbents like Lloyd's of London or major reinsurers [1]. Pipeline (1/2): The company continues to expand MGA onboarding and enhance AI capabilities, with Q2 EPS guidance of $0.17 and FY2027 revenue guidance of $1.22B, but specific next-generation product launches with dates were not identified [1]. R&amp;D Intensity (1/1): As an insurtech company, Accelerant invests heavily in technology infrastructure relative to traditional insurance peers, building proprietary AI and data systems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Jeff Radke's stated vision is to 'replatform the insurance value chain' through transparency and data-driven risk exchange [2]. This is specific and thoughtful — it identifies a clear inefficiency (opaque specialty insurance markets) and articulates how Accelerant solves it. It differentiates from generic insurance company missions but has not been validated by decades of execution given the company's youth. Community Impact (0/2): No evidence of charitable programs, foundation work, or distinctive community investment was identified [3]. Employee Retention (0/2): No employee retention data, tenure statistics, or culture metrics were found for this newly public company. Insider Buying (1/2): Insiders collectively bought CA$4.8M more in shares than they sold over the past 12 months, and insiders own approximately 22% of the company ($662M in shares), signaling meaningful alignment [3]. However, co-founder Radke also sold $1.3M in shares in mid-2026, creating mixed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limited data for this recently public company inflates the score as only strong metrics are calculable. D/E of 26% reflects a fortress balance sheet with $1.46B cash against only $126.7M debt, giving a net cash position of $6.05 per share [1]. Revenue surged 57% YoY in Q1 2026 to $273.3M, with full-year guidance of $1.02B [1]. Forward P/E of 20.66 is near the 20 target, though the significant gap between trailing P/E of 7.29 and forward P/E suggests earnings normalization ahead [1]. Key metrics including ROE, profit margin, and PEG ratio are unavailable or unreliable for this newly public insurance company due to complex premium accounting, limiting the robustness of this score. CAUTION: Score of 10 reflects the mechanical algorithm on available data only (3 of 7 growth-stock metrics); with full data, the score would likely be lower.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Accelerant is a young company with an innovative vision but insufficient track record to demonstrate infinite game characteristics. CEO Radke's purpose of replatforming the insurance value chain is genuine but untested by time, crisis, or leadership transition. The company's controlled status (79.2% owned by Altamont Capital Partners) and recent insider selling suggest financial optimization may take precedence over long-term cause advancement. Sinek would appreciate the founder-led vision but note the lack of evidence that this cause would survive leadership change or market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Radke's vision of creating a transparent, data-driven marketplace for specialty insurance is a genuine purpose that goes beyond profit maximization [2]. It identifies a real market inefficiency and offers a specific solution. However, the cause is industry-specific ('replatform insurance') rather than aspirational in the way Sinek envisions — it lacks the quality of being 'so bold it can never be fully achieved.' The company is only seven years old and the cause has not been tested through crises, leadership transitions, or market downturns.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Radke's leadership philosophy emphasizes enabling people to 'focus on what they do best' and fostering transparency and collaboration [2]. The company's rapid growth from startup to $3B public company suggests organizational capability. However, no specific employee retention data, tenure statistics, or culture metrics were identified. The small size of the team (relative to the 296 MGAs served) suggests a lean operation, but trust dynamics within the organization are unverifiable.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how Accelerant's leadership discusses competitors. The specialty insurance market includes established players (Lloyd's, major reinsurers), but no management commentary referencing learning from rivals or using competitive pressure for self-improvement was identified. The company's public communications focus on its own platform advantages rather than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Accelerant is too young to have faced the test of existential flexibility. The company has not needed to abandon a profitable business line or make a dramatic strategic pivot in service of its cause. The Risk Exchange platform is the original and only business model. Sinek would note that this dimension cannot be evaluated for a company that hasn't yet weathered a cycle.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Radke demonstrated courage in founding an insurtech startup to challenge established insurance models, building a platform that requires significant upfront investment before network effects generate returns [2]. Taking the company public and investing heavily in AI capabilities while still establishing profitability shows willingness to sacrifice short-term metrics for long-term capability. However, the company has not yet faced a real crisis test — the courage has been in building, not in preserving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Accelerant Holdings is a high-growth insurtech platform that has built a differentiated Risk Exchange connecting 296 MGAs across 22 countries with risk capital providers. Q1 2026 operating revenues surged 57% YoY to $273.3M, with adjusted EBITDA of $66.1M and full-year 2026 adjusted EBITDA guidance of at least $285M [1]. The fortress balance sheet ($1.46B cash, $126.7M debt, D/E 26%) provides substantial runway for growth investment. The AI-powered platform creates a data moat that strengthens with each MGA added, and the fee-based revenue model (non-underwriting EBITDA of $276M) provides stability distinct from traditional insurance earnings volatility. Net revenue retention of 116% indicates expanding relationships with existing MGAs.</w:t>
      </w:r>
    </w:p>
    <w:p>
      <w:pPr>
        <w:spacing w:after="120"/>
      </w:pPr>
      <w:r>
        <w:rPr>
          <w:rFonts w:ascii="Calibri" w:hAnsi="Calibri"/>
          <w:b w:val="0"/>
          <w:color w:val="3A4A28"/>
          <w:sz w:val="20"/>
        </w:rPr>
        <w:t>The bear case centers on valuation uncertainty and competitive risk: the wide gap between trailing P/E (7.29) and forward P/E (20.66) signals that current earnings levels may include one-time items or favorable conditions unlikely to persist [1]. Altamont Capital Partners controls 79.2% of voting power, creating governance risk for minority shareholders. Co-founder Radke's recent $1.3M share sale alongside a pattern of insider selling raises questions about management conviction [3]. The specialty insurance platform model, while innovative, is replicable by well-capitalized incumbents or tech giants entering insurance. With only one year of public market history, the company's performance through an insurance cycle downturn or catastrophic loss event remains untested. The stock's 52-week decline from $31.18 to ~$13.52 suggests the market is repricing growth expectations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MGA network expansion beyond 296 current partners, with each addition strengthening the data moat and platform economics through network effects</w:t>
      </w:r>
    </w:p>
    <w:p>
      <w:pPr>
        <w:spacing w:before="40" w:after="40"/>
        <w:ind w:left="283"/>
      </w:pPr>
      <w:r>
        <w:rPr>
          <w:rFonts w:ascii="Calibri" w:hAnsi="Calibri"/>
          <w:b/>
          <w:color w:val="4A6B25"/>
          <w:sz w:val="20"/>
        </w:rPr>
        <w:t xml:space="preserve">2. </w:t>
      </w:r>
      <w:r>
        <w:rPr>
          <w:rFonts w:ascii="Calibri" w:hAnsi="Calibri"/>
          <w:b w:val="0"/>
          <w:color w:val="3A4A28"/>
          <w:sz w:val="20"/>
        </w:rPr>
        <w:t>AI capability enhancements — real-time risk scoring and LLM-powered claims assessment — could drive higher fee revenue per MGA and attract larger, more sophisticated underwriting partners</w:t>
      </w:r>
    </w:p>
    <w:p>
      <w:pPr>
        <w:spacing w:before="40" w:after="40"/>
        <w:ind w:left="283"/>
      </w:pPr>
      <w:r>
        <w:rPr>
          <w:rFonts w:ascii="Calibri" w:hAnsi="Calibri"/>
          <w:b/>
          <w:color w:val="4A6B25"/>
          <w:sz w:val="20"/>
        </w:rPr>
        <w:t xml:space="preserve">3. </w:t>
      </w:r>
      <w:r>
        <w:rPr>
          <w:rFonts w:ascii="Calibri" w:hAnsi="Calibri"/>
          <w:b w:val="0"/>
          <w:color w:val="3A4A28"/>
          <w:sz w:val="20"/>
        </w:rPr>
        <w:t>FY2027 revenue guidance of $1.22B (up 20% from FY2026) with improving EBITDA margins as scale benefits materialize across the fixed-cost technology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Altamont Capital Partners' 79.2% voting control creates governance overhang; any decision to exit the position could trigger significant selling pressure on a stock already down ~57% from 52-week highs</w:t>
      </w:r>
    </w:p>
    <w:p>
      <w:pPr>
        <w:spacing w:before="40" w:after="40"/>
        <w:ind w:left="283"/>
      </w:pPr>
      <w:r>
        <w:rPr>
          <w:rFonts w:ascii="Calibri" w:hAnsi="Calibri"/>
          <w:b/>
          <w:color w:val="4A6B25"/>
          <w:sz w:val="20"/>
        </w:rPr>
        <w:t xml:space="preserve">2. </w:t>
      </w:r>
      <w:r>
        <w:rPr>
          <w:rFonts w:ascii="Calibri" w:hAnsi="Calibri"/>
          <w:b w:val="0"/>
          <w:color w:val="3A4A28"/>
          <w:sz w:val="20"/>
        </w:rPr>
        <w:t>Large catastrophic insurance losses could expose the company's balance sheet to underwriting risk beyond what the fee-based model implies, particularly in the underwriting segment</w:t>
      </w:r>
    </w:p>
    <w:p>
      <w:pPr>
        <w:spacing w:before="40" w:after="40"/>
        <w:ind w:left="283"/>
      </w:pPr>
      <w:r>
        <w:rPr>
          <w:rFonts w:ascii="Calibri" w:hAnsi="Calibri"/>
          <w:b/>
          <w:color w:val="4A6B25"/>
          <w:sz w:val="20"/>
        </w:rPr>
        <w:t xml:space="preserve">3. </w:t>
      </w:r>
      <w:r>
        <w:rPr>
          <w:rFonts w:ascii="Calibri" w:hAnsi="Calibri"/>
          <w:b w:val="0"/>
          <w:color w:val="3A4A28"/>
          <w:sz w:val="20"/>
        </w:rPr>
        <w:t>Competitive entry by established insurers or technology platforms (e.g., Google Cloud for insurance) could erode Accelerant's first-mover advantage in AI-powered specialty insurance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Accelerant's core business model IS AI-powered insurance technology — the Risk Exchange platform uses AI-driven risk scoring, ML portfolio monitoring, and LLM claims assessment as foundational capabilities [2]. This creates a paradox: the company is not threatened by AI disruption because it IS AI disruption of traditional insurance. However, larger technology companies (Google, Amazon) or well-capitalized incumbents could build competing AI-powered insurance platforms. The 296-MGA network across 22 countries creates meaningful switching costs and data moats, but the platform model is replicable by well-resourced competitors. Analysts view Accelerant as a beneficiary of AI in insurance rather than a victim [2]. AI Opportunity (1/1): Accelerant generates all of its revenue through an AI-powered platform. AI-driven risk scoring, ML tools, and LLM technology are embedded in the core product offering, directly driving fee-based revenue of $276M+ in adjusted EBITDA for FY2026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Accelerant Holdings Q1 2026 Earnings Release and FY2026/FY2027 Guidance — SEC Form 8-K,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Accelerant Holdings AI Platform Launch, CEO Jeff Radke Leadership Profile — BusinessWire, InsurtechInsights, Clay.com,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Accelerant Holdings Insider Trading Activity and Governance — Simply Wall St, Moomoo, SEC Form 4 Filings,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