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ASBP</w:t>
      </w:r>
      <w:r>
        <w:rPr>
          <w:rFonts w:ascii="Calibri" w:hAnsi="Calibri"/>
          <w:b/>
          <w:color w:val="1A2010"/>
          <w:sz w:val="40"/>
        </w:rPr>
        <w:t xml:space="preserve">  Aspire Biopharma Holdings, Inc.</w:t>
      </w:r>
    </w:p>
    <w:p>
      <w:pPr>
        <w:spacing w:after="120"/>
      </w:pPr>
      <w:r>
        <w:rPr>
          <w:rFonts w:ascii="Calibri" w:hAnsi="Calibri"/>
          <w:b/>
          <w:color w:val="6E8450"/>
          <w:sz w:val="18"/>
        </w:rPr>
        <w:t>GROWTH SLEEVE · 2026-08-10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Aspire Biopharma Holdings, Inc. is an early-stage biopharmaceutical company developing proprietary sublingual drug delivery technology designed to rapidly deliver therapeutics by bypassing the gastrointestinal tract. The pipeline includes sublingual aspirin for cardiology emergencies (505(b)(2) NDA submission targeted late 2026), melatonin, vitamins, testosterone, semaglutide, and anti-nausea formulations. Also markets the Buzz Bomb caffeine supplement as a consumer product. Founded in 2021, headquartered in Estero, Florida.</w:t>
      </w:r>
    </w:p>
    <w:p>
      <w:r>
        <w:rPr>
          <w:rFonts w:ascii="Calibri" w:hAnsi="Calibri"/>
          <w:b/>
          <w:color w:val="6E8450"/>
          <w:sz w:val="18"/>
        </w:rPr>
        <w:t>https://www.aspirebiopharma.com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Aspire completed a positive PK clinical trial for high-dose sublingual aspirin and launched the Buzz Bomb caffeine supplement with 2 million units manufactured and initial direct-to-consumer traction [1][3]. These are modest milestones for a 5-year-old company. However, total TTM revenue of $34,555 demonstrates essentially zero commercial traction despite multiple product announcements. AI Deployment (0/2): No AI-powered products or services. The company's sublingual formulation development is a physical chemistry and manufacturing process with no AI component. Market Share (0/2): With $34,555 in TTM revenue, Aspire has no measurable market share in any drug delivery or consumer supplement category. The sublingual aspirin product is not yet FDA-approved and the Buzz Bomb has negligible market penetration [1][2]. Product Pipeline (1/2): The sublingual aspirin 505(b)(2) NDA submission targeted for late 2026 represents a specific regulatory milestone with a defined timeline. Additional pipeline includes melatonin, semaglutide, ED drugs, and anti-nausea formulations, plus patent filings covering multiple indications [1]. However, most programs are preclinical with no disclosed clinical data beyond the aspirin PK study. R&amp;D Intensity (0/1): R&amp;D spending is minimal in absolute terms for a company with $10M market cap and no meaningful revenue, though high relative to the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Aspire Biopharma's stated purpose of 'transforming clinical pipeline into commercial reality' and developing sublingual drug delivery is generic pharmaceutical language interchangeable with any small drug delivery company [3]. The vision does not articulate a deeper purpose beyond making drugs that dissolve under the tongue faster. Community Impact (0/2): No evidence of charitable programs, community investment, or philanthropic initiatives. The company is too small to have meaningful community engagement beyond its core business activities. Employee Retention (0/2): No employee count is disclosed, no Glassdoor reviews are available, and no workforce information exists for this micro-cap company [2]. The CEO transition history (founder resignation in July 2025, interim CEO period) suggests organizational instability at the leadership level. Insider Buying (0/2): Insider ownership of 14.06% is noteworthy, but shares outstanding increased 222.62% YoY reflecting massive dilution [2]. No specific net insider buying transactions by executives were identified. The dilution suggests insiders may be maintaining percentage ownership through participation in equity raises rather than open-market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48,136 shares at $7.73 per share yields daily dollar volume of $372,091, well below the $1,000,000 liquidity threshold required for IOWN investability [2]. Infrastructure score forced to 0 regardless of other metrics. Underlying metrics are uniformly poor: TTM revenue of $34,555 against a net loss of $11.76M produces an operating margin of approximately -15,700% [1][2]. ROA of -74.70% reflects extreme capital inefficiency. Cash of $5.86M against $1.50M in debt provides limited runway. Shares outstanding increased 222.62% YoY (from ~0.40M to 1.30M), indicating aggressive dilution to fund operations [2]. Book value per share of $23.10 versus stock price of $7.73 implies the market values the company at a 67% discount to book. Altman Z-Score of -5.11 flags severe financial distress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Aspire Biopharma operates with a distinctly finite mindset characterized by survival-mode operations, leadership instability, and an unfocused strategy spanning sublingual drug delivery, consumer caffeine supplements, and a previously proposed industrial control systems acquisition. The company's 5-year history, minimal revenue, and Altman Z-Score of -5.11 reflect an entity playing to survive rather than to keep playing. No evidence exists of Just Cause thinking, courageous leadership decisions, or organizational trust-building.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sublingual drug delivery mission — enabling faster, more effective drug absorption to potentially save lives in cardiology emergencies — has genuine health impact potential. However, the cause is undermined by the company's simultaneous pursuit of consumer caffeine supplements (Buzz Bomb) and a previously proposed unrelated acquisition (Dura Control Systems), suggesting the purpose is subordinate to revenue-generation opportunism [1][3]. The company exists to make money through any available channel rather than advancing a singular vision of better drug delivery.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reviews, Glassdoor data, or workforce information exists for Aspire Biopharma [2]. The company does not disclose employee count, suggesting a skeleton team of fewer than 15 people. The CEO transition history — founder Michael Howe resigned in July 2025 and was replaced by board chairman Kraig Higginson — signals leadership instability at a critical early stage. The 222.62% increase in shares outstanding suggests heavy dilution that may erode trust among existing stakeholders.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Aspire Biopharma's communications frame the opportunity as 'disrupting a $100 billion market' — finite, win-the-game language rather than learning-oriented competitive awareness [3]. No public acknowledgment of competitors in sublingual drug delivery such as IntelGenx Technologies or Aquestive Therapeutics, and no evidence of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(founded 2021) and too early-stage (pre-revenue) to have meaningfully demonstrated existential flexibility. The diversification from drug delivery to Buzz Bomb consumer supplements and proposed industrial acquisitions could be interpreted as flexibility but more accurately reflects strategic unfocus in a company that has not yet validated its core technology [1][3]. No evidence of purposeful business model evolution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that sacrificed short-term performance for long-term capability. The company has burned through capital ($11.76M net loss on $34,555 revenue) without demonstrating meaningful product milestones or bold strategic choices [1][2]. The CEO transition from founder resignation to interim and then permanent appointment of the board chairman was a necessity, not a courageous act. Operational decisions appear reactive rather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Aspire Biopharma's sublingual drug delivery platform has theoretical merit — the positive PK clinical trial for sublingual aspirin demonstrates the technology works, and the 505(b)(2) NDA pathway targeted for late 2026 could provide a regulatory catalyst [1]. The sublingual semaglutide formulation in development could be commercially significant given explosive GLP-1 demand. At $10M market cap with $5.86M in cash ($4.36M net cash), the stock trades at a 67% discount to book value ($23.10/share vs $7.73), suggesting potential upside if any pipeline program achieves regulatory approval [2]. The Buzz Bomb consumer product launch with 2M units manufactured and a TruLife distribution agreement provide a modest near-term revenue path [3][4].</w:t>
      </w:r>
    </w:p>
    <w:p>
      <w:pPr>
        <w:spacing w:after="120"/>
      </w:pPr>
      <w:r>
        <w:rPr>
          <w:rFonts w:ascii="Calibri" w:hAnsi="Calibri"/>
          <w:b w:val="0"/>
          <w:color w:val="3A4A28"/>
          <w:sz w:val="20"/>
        </w:rPr>
        <w:t>Aspire Biopharma presents extreme speculative risk on virtually every IOWN dimension. The company has generated only $34,555 in TTM revenue after five years of operation while accumulating $11.76M in annual losses, and the stock has declined 98% over the past 52 weeks [1][2]. Average daily volume of 48,136 shares ($372K daily dollar volume) fails the IOWN liquidity floor, making the stock uninvestable for any position-size strategy. Shares outstanding increased 222.62% YoY reflecting aggressive dilution, and with only $5.86M in cash, additional dilutive financing is likely required before the sublingual aspirin NDA submission [2]. The company has zero analyst coverage, 0.98% institutional ownership, and an Altman Z-Score of -5.11 flagging severe financial distress. The simultaneous pursuit of consumer supplements, pharmaceutical development, and industrial acquisitions suggests strategic unfocus that is incompatible with the discipline required for FDA drug development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505(b)(2) NDA submission for sublingual aspirin targeted for late 2026 — positive FDA acceptance and review would be a meaningful validation of the core technology platform</w:t>
      </w:r>
    </w:p>
    <w:p>
      <w:pPr>
        <w:spacing w:before="40" w:after="40"/>
        <w:ind w:left="283"/>
      </w:pPr>
      <w:r>
        <w:rPr>
          <w:rFonts w:ascii="Calibri" w:hAnsi="Calibri"/>
          <w:b/>
          <w:color w:val="4A6B25"/>
          <w:sz w:val="20"/>
        </w:rPr>
        <w:t xml:space="preserve">2. </w:t>
      </w:r>
      <w:r>
        <w:rPr>
          <w:rFonts w:ascii="Calibri" w:hAnsi="Calibri"/>
          <w:b w:val="0"/>
          <w:color w:val="3A4A28"/>
          <w:sz w:val="20"/>
        </w:rPr>
        <w:t>Sublingual semaglutide formulation development could position the company to participate in the multi-billion-dollar GLP-1 market if the formulation demonstrates bioequivalence</w:t>
      </w:r>
    </w:p>
    <w:p>
      <w:pPr>
        <w:spacing w:before="40" w:after="40"/>
        <w:ind w:left="283"/>
      </w:pPr>
      <w:r>
        <w:rPr>
          <w:rFonts w:ascii="Calibri" w:hAnsi="Calibri"/>
          <w:b/>
          <w:color w:val="4A6B25"/>
          <w:sz w:val="20"/>
        </w:rPr>
        <w:t xml:space="preserve">3. </w:t>
      </w:r>
      <w:r>
        <w:rPr>
          <w:rFonts w:ascii="Calibri" w:hAnsi="Calibri"/>
          <w:b w:val="0"/>
          <w:color w:val="3A4A28"/>
          <w:sz w:val="20"/>
        </w:rPr>
        <w:t>TruLife distribution agreement and Buzz Bomb consumer product sales could provide a modest revenue base to reduce cash burn rate and extend operational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$372K fails the IOWN $1M liquidity floor, and 222.62% YoY share dilution signals the stock is uninvestable for institutional or disciplined individual investors</w:t>
      </w:r>
    </w:p>
    <w:p>
      <w:pPr>
        <w:spacing w:before="40" w:after="40"/>
        <w:ind w:left="283"/>
      </w:pPr>
      <w:r>
        <w:rPr>
          <w:rFonts w:ascii="Calibri" w:hAnsi="Calibri"/>
          <w:b/>
          <w:color w:val="4A6B25"/>
          <w:sz w:val="20"/>
        </w:rPr>
        <w:t xml:space="preserve">2. </w:t>
      </w:r>
      <w:r>
        <w:rPr>
          <w:rFonts w:ascii="Calibri" w:hAnsi="Calibri"/>
          <w:b w:val="0"/>
          <w:color w:val="3A4A28"/>
          <w:sz w:val="20"/>
        </w:rPr>
        <w:t>Only $5.86M in cash with $11.76M annual burn rate provides approximately 6 months of runway, virtually guaranteeing additional dilutive financing before any regulatory milestone can be achieved</w:t>
      </w:r>
    </w:p>
    <w:p>
      <w:pPr>
        <w:spacing w:before="40" w:after="40"/>
        <w:ind w:left="283"/>
      </w:pPr>
      <w:r>
        <w:rPr>
          <w:rFonts w:ascii="Calibri" w:hAnsi="Calibri"/>
          <w:b/>
          <w:color w:val="4A6B25"/>
          <w:sz w:val="20"/>
        </w:rPr>
        <w:t xml:space="preserve">3. </w:t>
      </w:r>
      <w:r>
        <w:rPr>
          <w:rFonts w:ascii="Calibri" w:hAnsi="Calibri"/>
          <w:b w:val="0"/>
          <w:color w:val="3A4A28"/>
          <w:sz w:val="20"/>
        </w:rPr>
        <w:t>Five years of operation yielding $34,555 in TTM revenue, zero analyst coverage, 0.98% institutional ownership, and Altman Z-Score of -5.11 collectively indicate extreme financial distress and minimal market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Aspire Biopharma's core business of sublingual drug formulation is a physical chemistry and manufacturing challenge that AI cannot substitute — developing dissolvable drug delivery mechanisms requires wet-lab formulation work, physical stability testing, and FDA-regulated manufacturing processes that are beyond AI's reach [1]. The regulatory pathway (505(b)(2) NDA) involves clinical trials and FDA review that AI tools cannot bypass. However, the company lacks any meaningful competitive moats beyond its patent-pending technology — no approved products, no manufacturing scale, no brand recognition — making it protected from AI disruption but vulnerable to conventional competition from any established drug delivery company that could develop similar sublingual formulations. AI Opportunity (0/1): No AI-related revenue or capabilities. The company does not utilize AI in formulation development or any aspect of its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Aspire Biopharma Q1 2026 10-Q Financial Results — TradingView, May 2026</w:t>
      </w:r>
    </w:p>
    <w:p>
      <w:pPr>
        <w:spacing w:before="20" w:after="20"/>
        <w:ind w:left="170"/>
      </w:pPr>
      <w:r>
        <w:rPr>
          <w:rFonts w:ascii="Calibri" w:hAnsi="Calibri"/>
          <w:b/>
          <w:color w:val="4A6B25"/>
          <w:sz w:val="15"/>
        </w:rPr>
        <w:t xml:space="preserve">2. </w:t>
      </w:r>
      <w:r>
        <w:rPr>
          <w:rFonts w:ascii="Calibri" w:hAnsi="Calibri"/>
          <w:b w:val="0"/>
          <w:color w:val="3A4A28"/>
          <w:sz w:val="17"/>
        </w:rPr>
        <w:t>ASBP Key Financial Statistics — stockanalysis.com,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Aspire Biopharma Shareholder Letter and Strategic Update — AccessNewsWire, 2026</w:t>
      </w:r>
    </w:p>
    <w:p>
      <w:pPr>
        <w:spacing w:before="20" w:after="20"/>
        <w:ind w:left="170"/>
      </w:pPr>
      <w:r>
        <w:rPr>
          <w:rFonts w:ascii="Calibri" w:hAnsi="Calibri"/>
          <w:b/>
          <w:color w:val="4A6B25"/>
          <w:sz w:val="15"/>
        </w:rPr>
        <w:t xml:space="preserve">4. </w:t>
      </w:r>
      <w:r>
        <w:rPr>
          <w:rFonts w:ascii="Calibri" w:hAnsi="Calibri"/>
          <w:b w:val="0"/>
          <w:color w:val="3A4A28"/>
          <w:sz w:val="17"/>
        </w:rPr>
        <w:t>Aspire Biopharma TruLife Distribution Agreement — stocktitan.net,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