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AZTR</w:t>
      </w:r>
      <w:r>
        <w:rPr>
          <w:rFonts w:ascii="Calibri" w:hAnsi="Calibri"/>
          <w:b/>
          <w:color w:val="1A2010"/>
          <w:sz w:val="40"/>
        </w:rPr>
        <w:t xml:space="preserve">  Azitra, Inc.</w:t>
      </w:r>
    </w:p>
    <w:p>
      <w:pPr>
        <w:spacing w:after="120"/>
      </w:pPr>
      <w:r>
        <w:rPr>
          <w:rFonts w:ascii="Calibri" w:hAnsi="Calibri"/>
          <w:b/>
          <w:color w:val="6E8450"/>
          <w:sz w:val="18"/>
        </w:rPr>
        <w:t>GROWTH SLEEVE · 2026-08-16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Azitra is a clinical-stage biopharmaceutical company engineering living bacteria and proteins as precision dermatology therapeutics, leveraging a proprietary microbial library platform. Lead candidate ATR-12 (an engineered strain of S. epidermidis) targets Netherton syndrome, a rare chronic skin disease with no approved treatment, with Phase 1b topline data anticipated in the second half of 2026. ATR-04 targets EGFR-inhibitor-associated skin rash in oncology patients and added MD Anderson Cancer Center as a clinical trial site in February 2026. The company is pre-revenue, reported a Q1 2026 net loss of $3.9 million against $10.1 million in cash, and CEO Francisco Salva issued a shareholder letter in 2026 outlining a 'strategic reorientation' of the business.</w:t>
      </w:r>
    </w:p>
    <w:p>
      <w:r>
        <w:rPr>
          <w:rFonts w:ascii="Calibri" w:hAnsi="Calibri"/>
          <w:b/>
          <w:color w:val="6E8450"/>
          <w:sz w:val="18"/>
        </w:rPr>
        <w:t>13 Employees · https://azitrainc.com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Azitra has no commercial product launches and no completed business-model pivot; its clinical programs are advancing (ATR-12 enrollment, ATR-04 dosing first patients) but this represents incremental pipeline progress rather than a proven transformation [1]. AI Deployment (0/2): No evidence of AI-powered products or internally reported AI-driven efficiency gains was found. Market Share (0/2): As a pre-commercial company with no approved products, Azitra has no market share to evaluate. Product Pipeline (2/2): Azitra has specific, named programs with concrete near-term catalysts — ATR-12 Phase 1b topline data expected H2 2026 for Netherton syndrome, and ATR-04 Phase 1/2 topline data from the first cohort expected H2 2026, with MD Anderson Cancer Center added as a trial site in February 2026 [1]. R&amp;D Intensity (1/1): As a pre-revenue clinical-stage biotech, essentially all of Azitra's operating spend is R&amp;D-directed, placing it at the top of the industry distribution by construction.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Azitra's focus on engineering living organisms and proteins to treat rare skin diseases with no approved treatment options — specifically Netherton syndrome — is a specific, thoughtful mission addressing genuine unmet medical need rather than a generic platitude [1]. Community Impact (0/2): No evidence of charitable or community programs was found, unsurprising for a company of this size and financial position. Employee Retention (0/2): No employee retention or tenure data is available for this 13-person clinical-stage company. Insider Buying (1/2): CEO Francisco Salva converted 500 shares of Series A Preferred into 4,064,050 shares of common stock in June 2026, building to a 9.99% beneficial ownership stake, though this reflects a conversion of an existing security rather than a new open-market cash purchase, so it is scored as neutral evidence of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is approximately $195,573 (1,403,968 shares x $0.1393), well below the $1,000,000 threshold required for IOWN tradability. Per the hard rule, Infrastructure score is set to 0 regardless of all other metrics. For reference, Azitra is pre-revenue with a negative return on equity of -256.67%, a low D/E of 0.06 reflecting minimal debt (typical of small clinical-stage biotechs funded by equity issuance), and shares outstanding that increased 672% year-over-year, reflecting heavy dilution to fund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Azitra is pursuing a genuine unmet medical need — Netherton syndrome has no approved treatment — which gives its mission real substance, but the company's severe financial distress (672% share dilution year-over-year, an 86% 52-week share price decline, and a CEO-issued 'strategic reorientation' letter) points to survival-mode decision-making rather than the sustained, values-driven execution Sinek's framework rewards. This is a company fighting for its next data readout and financing round, not one demonstrating infinite-game discipline.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Treating Netherton syndrome, a rare disease with no approved therapy, is a genuine, service-oriented cause connected directly to the company's lead program, and the ATR-04 oncology-adjacent program (EGFR-inhibitor rash) extends the mission to cancer patients' quality of life [1]. However, the cause has not been tested through a market cycle or crisis with the company intact, and the 2026 'strategic reorientation' letter suggests strategy is being driven by financial necessity as much as by the mission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culture, tenure, or retention data is available for this 13-person organization, and the absence of any positive signal combined with visible financial distress does not support crediting a high-trust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found describing Azitra's posture toward competing precision-dermatology or microbiome-therapeutic developers.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CEO Francisco Salva's 2026 shareholder letter detailing 'strategic reorientation initiatives' signals the company is willing to adapt its approach, though specifics of the pivot were not detailed in available disclosures, limiting this to partial credit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choosing costly long-term investment over short-term survival was found; instead, the observable pattern — rising dilution, a strategic reorientation letter amid financial distress — points to decisions driven by capital constraints rather than principled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Azitra is a micro-cap clinical-stage biotech with a scientifically distinctive platform — engineered living bacteria and proteins delivered topically for precision dermatology — pursuing a genuine unmet need in Netherton syndrome, a rare disease with zero approved therapies [1]. Two binary catalysts are on the near-term horizon: Phase 1b topline data for lead program ATR-12 and Phase 1/2 first-cohort topline data for ATR-04 (EGFR-inhibitor rash in oncology patients, now enrolling at MD Anderson Cancer Center), both expected in the second half of 2026 [1]. A clean balance sheet with minimal debt (D/E of 0.06) at least means the company is not carrying leverage risk on top of clinical and financing risk.</w:t>
      </w:r>
    </w:p>
    <w:p>
      <w:pPr>
        <w:spacing w:after="120"/>
      </w:pPr>
      <w:r>
        <w:rPr>
          <w:rFonts w:ascii="Calibri" w:hAnsi="Calibri"/>
          <w:b w:val="0"/>
          <w:color w:val="3A4A28"/>
          <w:sz w:val="20"/>
        </w:rPr>
        <w:t>The bear case dominates here. Azitra fails the IOWN liquidity floor outright — average daily dollar volume of roughly $195,000 is a fraction of the $1,000,000 minimum required for tradability, making Infrastructure score a hard zero regardless of clinical progress. The company is pre-revenue with a widening net loss ($3.9M in Q1 2026 alone against $10.1M cash on hand), a 672% year-over-year increase in shares outstanding reflecting severe dilution, and an 86% 52-week share price decline that reflects the market's judgment on runway and pipeline risk [2]. The CEO's 2026 shareholder letter announcing a 'strategic reorientation' is itself a signal of the pressure the company is under. Any further clinical setback or financing at increasingly dilutive terms would compound an already precarious position; this is a name suitable only for investors with a very high risk tolerance and a clear-eyed view of binary clinical catalysts.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ATR-12 Phase 1b topline data for Netherton syndrome expected in the second half of 2026 — a positive readout would be the company's first clinical validation of its engineered-bacteria platform in its lead indication [1]</w:t>
      </w:r>
    </w:p>
    <w:p>
      <w:pPr>
        <w:spacing w:before="40" w:after="40"/>
        <w:ind w:left="283"/>
      </w:pPr>
      <w:r>
        <w:rPr>
          <w:rFonts w:ascii="Calibri" w:hAnsi="Calibri"/>
          <w:b/>
          <w:color w:val="4A6B25"/>
          <w:sz w:val="20"/>
        </w:rPr>
        <w:t xml:space="preserve">2. </w:t>
      </w:r>
      <w:r>
        <w:rPr>
          <w:rFonts w:ascii="Calibri" w:hAnsi="Calibri"/>
          <w:b w:val="0"/>
          <w:color w:val="3A4A28"/>
          <w:sz w:val="20"/>
        </w:rPr>
        <w:t>ATR-04 Phase 1/2 first-cohort topline data (EGFR-inhibitor-associated rash) expected in the second half of 2026, now enrolling at MD Anderson Cancer Center, which would extend platform validation into oncology supportive care [1]</w:t>
      </w:r>
    </w:p>
    <w:p>
      <w:pPr>
        <w:spacing w:before="40" w:after="40"/>
        <w:ind w:left="283"/>
      </w:pPr>
      <w:r>
        <w:rPr>
          <w:rFonts w:ascii="Calibri" w:hAnsi="Calibri"/>
          <w:b/>
          <w:color w:val="4A6B25"/>
          <w:sz w:val="20"/>
        </w:rPr>
        <w:t xml:space="preserve">3. </w:t>
      </w:r>
      <w:r>
        <w:rPr>
          <w:rFonts w:ascii="Calibri" w:hAnsi="Calibri"/>
          <w:b w:val="0"/>
          <w:color w:val="3A4A28"/>
          <w:sz w:val="20"/>
        </w:rPr>
        <w:t>Execution of the CEO's announced 'strategic reorientation' — details on capital allocation, pipeline prioritization, or partnership activity could materially change the risk profile in either direction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average daily dollar volume of roughly $195,000 is far below the $1,000,000 threshold, making the stock effectively untradeable at institutional scale and driving Infrastructure score to zero under IOWN's hard rule</w:t>
      </w:r>
    </w:p>
    <w:p>
      <w:pPr>
        <w:spacing w:before="40" w:after="40"/>
        <w:ind w:left="283"/>
      </w:pPr>
      <w:r>
        <w:rPr>
          <w:rFonts w:ascii="Calibri" w:hAnsi="Calibri"/>
          <w:b/>
          <w:color w:val="4A6B25"/>
          <w:sz w:val="20"/>
        </w:rPr>
        <w:t xml:space="preserve">2. </w:t>
      </w:r>
      <w:r>
        <w:rPr>
          <w:rFonts w:ascii="Calibri" w:hAnsi="Calibri"/>
          <w:b w:val="0"/>
          <w:color w:val="3A4A28"/>
          <w:sz w:val="20"/>
        </w:rPr>
        <w:t>Severe dilution risk — shares outstanding increased 672% year-over-year, and continued cash burn ($3.9M quarterly net loss against $10.1M cash) will likely require further capital raises on dilutive terms absent a near-term financing event [2]</w:t>
      </w:r>
    </w:p>
    <w:p>
      <w:pPr>
        <w:spacing w:before="40" w:after="40"/>
        <w:ind w:left="283"/>
      </w:pPr>
      <w:r>
        <w:rPr>
          <w:rFonts w:ascii="Calibri" w:hAnsi="Calibri"/>
          <w:b/>
          <w:color w:val="4A6B25"/>
          <w:sz w:val="20"/>
        </w:rPr>
        <w:t xml:space="preserve">3. </w:t>
      </w:r>
      <w:r>
        <w:rPr>
          <w:rFonts w:ascii="Calibri" w:hAnsi="Calibri"/>
          <w:b w:val="0"/>
          <w:color w:val="3A4A28"/>
          <w:sz w:val="20"/>
        </w:rPr>
        <w:t>Binary clinical trial risk on both lead programs (ATR-12, ATR-04) with data expected in the same window (H2 2026); a negative or ambiguous readout on either could be existential given the company's limited cash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Azitra's business — engineering living biologic therapeutics through a proprietary microbial library and advancing them through FDA-regulated clinical trials — sits behind structural moats (biological product complexity, regulated clinical development, manufacturing know-how) that AI cannot directly replace. No analyst commentary specific to Azitra's AI disruption risk was identified, which supports a moderate rather than top-tier score absent explicit confirmation of an AI-driven competitive threat or protection. AI Opportunity (0/1): No evidence of AI-related revenue or AI-driven drug discovery tools was found in Azitra's own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Azitra Q1 2026 Results and Business Updates — Net Loss $3.9M, Cash $10.1M, ATR-12 and ATR-04 Pipeline Timelines, MD Anderson Trial Site — PR Newswire, StockTitan,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Azitra Insider Trading and Ownership — CEO Francisco Salva 9.99% Stake, Preferred-to-Common Conversion (June 2026) — GuruFocus, StockTitan, TradingView, 2026</w:t>
      </w:r>
    </w:p>
    <w:p>
      <w:pPr>
        <w:spacing w:before="20" w:after="20"/>
        <w:ind w:left="170"/>
      </w:pPr>
      <w:r>
        <w:rPr>
          <w:rFonts w:ascii="Calibri" w:hAnsi="Calibri"/>
          <w:b/>
          <w:color w:val="4A6B25"/>
          <w:sz w:val="15"/>
        </w:rPr>
        <w:t xml:space="preserve">3. </w:t>
      </w:r>
      <w:r>
        <w:rPr>
          <w:rFonts w:ascii="Calibri" w:hAnsi="Calibri"/>
          <w:b w:val="0"/>
          <w:color w:val="3A4A28"/>
          <w:sz w:val="17"/>
        </w:rPr>
        <w:t>Azitra Corporate Materials — About Us, Mission and Platform Description, CEO Strategic Reorientation Shareholder Letter — PR Newswire, azitrainc.com,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AZTR Key Statistics: Stock Price $0.1393, Market Cap $2.26M, D/E 0.06, ROE -256.67%, Shares Outstanding +672.10% YoY, 52-Week Decline -86.32%,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