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BANL</w:t>
      </w:r>
      <w:r>
        <w:rPr>
          <w:rFonts w:ascii="Calibri" w:hAnsi="Calibri"/>
          <w:b/>
          <w:color w:val="1A2010"/>
          <w:sz w:val="40"/>
        </w:rPr>
        <w:t xml:space="preserve">  CBL International Limited</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NASDAQ · Hong Kong</w:t>
      </w:r>
    </w:p>
    <w:p>
      <w:pPr>
        <w:spacing w:after="80"/>
      </w:pPr>
      <w:r>
        <w:rPr>
          <w:rFonts w:ascii="Calibri" w:hAnsi="Calibri"/>
          <w:b w:val="0"/>
          <w:color w:val="3A4A28"/>
          <w:sz w:val="20"/>
        </w:rPr>
        <w:t>CBL International Limited, through its subsidiaries, provides marine fuel logistics services across the Asia Pacific, Europe, Central America, and Africa. The company facilitates vessel refueling by purchasing marine fuel (fossil and biofuel) from suppliers and reselling to ship operators across a network of 65+ ports globally. Listed on NASDAQ in 2022 via SPAC, the company completed a 1-for-13 reverse stock split in July 2026 to regain Nasdaq minimum bid price compliance.</w:t>
      </w:r>
    </w:p>
    <w:p>
      <w:r>
        <w:rPr>
          <w:rFonts w:ascii="Calibri" w:hAnsi="Calibri"/>
          <w:b/>
          <w:color w:val="6E8450"/>
          <w:sz w:val="18"/>
        </w:rPr>
        <w:t>https://www.banle-intl.com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CBL expanded its global port network to 65 ports and entered biofuel bunkering with 154.7% YoY growth in biofuel sales in H1 2025, representing incremental market extension in response to IMO decarbonization regulations rather than transformative innovation [1]. AI Deployment (0/2): No AI-powered products or quantified AI-driven efficiency gains reported; the company operates a traditional fuel trading and logistics model [4]. Market Share (0/2): Small player in the fragmented marine fuel logistics market with $538M TTM revenue and a $7.9M market cap; no evidence of category leadership or meaningful share gains against larger bunkering firms [2]. Pipeline (0/2): No next-generation products announced with specific timelines beyond continued biofuel expansion [1]. R&amp;D Intensity (0/1): No R&amp;D spending reported; the business model is logistics intermediation, not technology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CBL's purpose is generic — facilitating vessel refueling as a marine fuel intermediary. No distinctive mission, purpose, or vision statement found on the company website beyond operational descriptions of fuel logistics services [4]. Community Impact (0/2): No evidence of charitable giving, community programs, or philanthropic initiatives [4]. Employee Retention (0/2): No employee retention or tenure data available; Dr. Teck Lim Chia serves as both Chairman/CEO and Acting CFO since December 2024, suggesting significant resource constraints at the executive level [3]. Insider Buying (0/2): No evidence of meaningful insider buying by executives; the dual CEO/CFO role and micro-cap market cap ($7.9M) suggest limited management investment capacity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(8,278) x stock_price ($3.75) = $31,042, far below the $1,000,000 minimum [2]. The stock is effectively illiquid for institutional or meaningful retail trading. Underlying metrics are also weak: D/E of 6.83% is excellent but offset by negative ROE of -14.24%, negative profit margin of -0.55%, and revenue declining 9.1% YoY to $538.5M despite sales volume growing 9.8% in H1 2025 — reflecting margin compression from lower fuel prices [1]. The company reported a net loss of $2.97M in 2025, narrowing from $3.75M in 2024, but remains unprofitable. The 1-for-13 reverse split in July 2026 and near-delisting episode underscore the financial fragility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CBL International operates as a finite player in marine fuel logistics — a commodity intermediation business with no articulated long-term vision beyond operational survival. The company's near-delisting, reverse stock split, and dual CEO/CFO role reflect an organization in survival mode rather than one built to endure. The biofuel expansion shows some adaptive capacity, but it is driven by regulatory compliance rather than a transformative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CBL has some sustainability ambition through its biofuel expansion and ISCC certifications, but this is driven by IMO decarbonization regulations rather than an intrinsic vision of a better future [1]. The company exists primarily as a marine fuel intermediary optimizing for commodity margins. No leadership statements articulate why CBL exists beyond facilitating vessel refueling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 employee data available for this micro-cap company. The fact that CEO Dr. Teck Lim Chia also serves as Acting CFO since December 2024 suggests severe organizational resource constraints [3]. No evidence of high-trust or low-trust culture; the company is simply too small and opaque to assess organizational health.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CBL acknowledging competitors' strengths or using competitive pressure for self-improvement. The company's communications focus on operational milestones rather than competitive positioning. In the fragmented marine bunkering market, no competitive language or rival acknowledgment was found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CBL's expansion into biofuels with 154.7% YoY sales growth in H1 2025 demonstrates adaptation to industry trends driven by IMO decarbonization requirements [1]. The company obtained ISCC EU and ISCC Plus certificates and delivered its first B24 biofuel bunkering order in Hong Kong. However, this is incremental market extension within the same logistics framework,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gains for long-term capability. The company's trajectory — near-delisting, reverse stock split, CEO serving dual roles as Acting CFO — suggests reactive crisis management rather than proactive courageous investment [2][3]. Dr. Chia's Directors of the Year Award recognizes governance competence, not bold strategic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CBL International operates in the growing marine fuel logistics market with a 65-port global network and emerging biofuel capability, with biofuel sales surging 154.7% YoY in H1 2025 [1]. The company's low debt (D/E 6.83%) and $538M in TTM revenue demonstrate operating scale relative to its $7.9M market cap, creating a theoretical deep-value setup. Dr. Chia's recognition at the Directors of the Year Awards reflects governance improvements, and the regained Nasdaq compliance following the 1-for-13 reverse split provides near-term listing stability [3].</w:t>
      </w:r>
    </w:p>
    <w:p>
      <w:pPr>
        <w:spacing w:after="120"/>
      </w:pPr>
      <w:r>
        <w:rPr>
          <w:rFonts w:ascii="Calibri" w:hAnsi="Calibri"/>
          <w:b w:val="0"/>
          <w:color w:val="3A4A28"/>
          <w:sz w:val="20"/>
        </w:rPr>
        <w:t>However, the bearish case is overwhelming. The $7.9M market cap against $538M revenue reflects the market's view that this is a low-margin commodity intermediation business with no competitive moat [2]. Net losses persist (-$2.97M in 2025), revenue declined 9.1% YoY despite volume growth (indicating margin compression from lower fuel prices), and the stock is catastrophically illiquid at ~$31K daily dollar volume [1][2]. The reverse stock split and near-delisting episode signal fundamental financial fragility. The CEO serving as Acting CFO since December 2024 suggests organizational resource constraints that undermine operational credibility. There is no institutional investor interest, no analyst coverage, and no catalyst for revaluation.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biofuel expansion with ISCC certifications could position CBL as a specialist in marine decarbonization as IMO regulations tighten through 2030</w:t>
      </w:r>
    </w:p>
    <w:p>
      <w:pPr>
        <w:spacing w:before="40" w:after="40"/>
        <w:ind w:left="283"/>
      </w:pPr>
      <w:r>
        <w:rPr>
          <w:rFonts w:ascii="Calibri" w:hAnsi="Calibri"/>
          <w:b/>
          <w:color w:val="4A6B25"/>
          <w:sz w:val="20"/>
        </w:rPr>
        <w:t xml:space="preserve">2. </w:t>
      </w:r>
      <w:r>
        <w:rPr>
          <w:rFonts w:ascii="Calibri" w:hAnsi="Calibri"/>
          <w:b w:val="0"/>
          <w:color w:val="3A4A28"/>
          <w:sz w:val="20"/>
        </w:rPr>
        <w:t>Port network expansion beyond 65 ports could drive volume growth and improve economies of scale in fuel procurement</w:t>
      </w:r>
    </w:p>
    <w:p>
      <w:pPr>
        <w:spacing w:before="40" w:after="40"/>
        <w:ind w:left="283"/>
      </w:pPr>
      <w:r>
        <w:rPr>
          <w:rFonts w:ascii="Calibri" w:hAnsi="Calibri"/>
          <w:b/>
          <w:color w:val="4A6B25"/>
          <w:sz w:val="20"/>
        </w:rPr>
        <w:t xml:space="preserve">3. </w:t>
      </w:r>
      <w:r>
        <w:rPr>
          <w:rFonts w:ascii="Calibri" w:hAnsi="Calibri"/>
          <w:b w:val="0"/>
          <w:color w:val="3A4A28"/>
          <w:sz w:val="20"/>
        </w:rPr>
        <w:t>Return to profitability through margin improvement as fuel prices stabilize and biofuel premiums provide higher-margin revenue mix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illiquidity at ~$31K daily dollar volume makes the stock untradeable for any meaningful position size, creating severe exit risk</w:t>
      </w:r>
    </w:p>
    <w:p>
      <w:pPr>
        <w:spacing w:before="40" w:after="40"/>
        <w:ind w:left="283"/>
      </w:pPr>
      <w:r>
        <w:rPr>
          <w:rFonts w:ascii="Calibri" w:hAnsi="Calibri"/>
          <w:b/>
          <w:color w:val="4A6B25"/>
          <w:sz w:val="20"/>
        </w:rPr>
        <w:t xml:space="preserve">2. </w:t>
      </w:r>
      <w:r>
        <w:rPr>
          <w:rFonts w:ascii="Calibri" w:hAnsi="Calibri"/>
          <w:b w:val="0"/>
          <w:color w:val="3A4A28"/>
          <w:sz w:val="20"/>
        </w:rPr>
        <w:t>Revenue declining 9.1% YoY despite 9.8% volume growth indicates structural margin compression in the commodity fuel intermediation business</w:t>
      </w:r>
    </w:p>
    <w:p>
      <w:pPr>
        <w:spacing w:before="40" w:after="40"/>
        <w:ind w:left="283"/>
      </w:pPr>
      <w:r>
        <w:rPr>
          <w:rFonts w:ascii="Calibri" w:hAnsi="Calibri"/>
          <w:b/>
          <w:color w:val="4A6B25"/>
          <w:sz w:val="20"/>
        </w:rPr>
        <w:t xml:space="preserve">3. </w:t>
      </w:r>
      <w:r>
        <w:rPr>
          <w:rFonts w:ascii="Calibri" w:hAnsi="Calibri"/>
          <w:b w:val="0"/>
          <w:color w:val="3A4A28"/>
          <w:sz w:val="20"/>
        </w:rPr>
        <w:t>CEO serving as Acting CFO since December 2024 suggests critical organizational resource constraints, and the $7.9M market cap limits the company's ability to attract talent, raise capital, or invest in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Marine fuel logistics involves physical ship refueling, fuel procurement from refineries, port operations, and supply chain coordination across 65+ ports globally [1]. AI cannot substitute for the physical movement of fuel to vessels, nor replace the complex regulatory compliance required for marine bunkering (ISCC EU and ISCC Plus certifications for biofuels) [4]. The business is inherently physical-world with no analyst concerns about AI displacement. However, AI could improve logistics optimization for larger competitors, potentially squeezing smaller intermediaries like CBL on pricing efficiency. AI Opportunity (0/1): No AI-generated revenue or AI product deployment; the company operates a traditional fuel trading model with no technology differentiation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CBL International H1 2025 Financial Results — Form 6-K, SEC Filing, August 2025</w:t>
      </w:r>
    </w:p>
    <w:p>
      <w:pPr>
        <w:spacing w:before="20" w:after="20"/>
        <w:ind w:left="170"/>
      </w:pPr>
      <w:r>
        <w:rPr>
          <w:rFonts w:ascii="Calibri" w:hAnsi="Calibri"/>
          <w:b/>
          <w:color w:val="4A6B25"/>
          <w:sz w:val="15"/>
        </w:rPr>
        <w:t xml:space="preserve">2. </w:t>
      </w:r>
      <w:r>
        <w:rPr>
          <w:rFonts w:ascii="Calibri" w:hAnsi="Calibri"/>
          <w:b w:val="0"/>
          <w:color w:val="3A4A28"/>
          <w:sz w:val="17"/>
        </w:rPr>
        <w:t>StockAnalysis.com — BANL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ACN Newswire — Dr. Teck Lim Chia Honored at Directors of the Year Awards, 2025</w:t>
      </w:r>
    </w:p>
    <w:p>
      <w:pPr>
        <w:spacing w:before="20" w:after="20"/>
        <w:ind w:left="170"/>
      </w:pPr>
      <w:r>
        <w:rPr>
          <w:rFonts w:ascii="Calibri" w:hAnsi="Calibri"/>
          <w:b/>
          <w:color w:val="4A6B25"/>
          <w:sz w:val="15"/>
        </w:rPr>
        <w:t xml:space="preserve">4. </w:t>
      </w:r>
      <w:r>
        <w:rPr>
          <w:rFonts w:ascii="Calibri" w:hAnsi="Calibri"/>
          <w:b w:val="0"/>
          <w:color w:val="3A4A28"/>
          <w:sz w:val="17"/>
        </w:rPr>
        <w:t>CBL International Annual Report 20-F — SEC Filing, 2025</w:t>
      </w:r>
    </w:p>
    <w:p>
      <w:pPr>
        <w:spacing w:before="20" w:after="20"/>
        <w:ind w:left="170"/>
      </w:pPr>
      <w:r>
        <w:rPr>
          <w:rFonts w:ascii="Calibri" w:hAnsi="Calibri"/>
          <w:b/>
          <w:color w:val="4A6B25"/>
          <w:sz w:val="15"/>
        </w:rPr>
        <w:t xml:space="preserve">5. </w:t>
      </w:r>
      <w:r>
        <w:rPr>
          <w:rFonts w:ascii="Calibri" w:hAnsi="Calibri"/>
          <w:b w:val="0"/>
          <w:color w:val="3A4A28"/>
          <w:sz w:val="17"/>
        </w:rPr>
        <w:t>CompaniesMarketCap.com — BANL Revenue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