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BCRX</w:t>
      </w:r>
      <w:r>
        <w:rPr>
          <w:rFonts w:ascii="Calibri" w:hAnsi="Calibri"/>
          <w:b/>
          <w:color w:val="1A2010"/>
          <w:sz w:val="40"/>
        </w:rPr>
        <w:t xml:space="preserve">  BioCryst Pharmaceuticals, Inc.</w:t>
      </w:r>
    </w:p>
    <w:p>
      <w:pPr>
        <w:spacing w:after="120"/>
      </w:pPr>
      <w:r>
        <w:rPr>
          <w:rFonts w:ascii="Calibri" w:hAnsi="Calibri"/>
          <w:b/>
          <w:color w:val="6E8450"/>
          <w:sz w:val="18"/>
        </w:rPr>
        <w:t>GROWTH SLEEVE · 2026-08-25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United States</w:t>
      </w:r>
    </w:p>
    <w:p>
      <w:pPr>
        <w:spacing w:after="80"/>
      </w:pPr>
      <w:r>
        <w:rPr>
          <w:rFonts w:ascii="Calibri" w:hAnsi="Calibri"/>
          <w:b w:val="0"/>
          <w:color w:val="3A4A28"/>
          <w:sz w:val="20"/>
        </w:rPr>
        <w:t>BioCryst Pharmaceuticals, Inc. is a biotechnology company focused on rare diseases, principally hereditary angioedema (HAE). Lead product ORLADEYO (berotralstat) is the first and only oral once-daily prophylactic treatment for HAE, generating $158.2M in Q2 2026 revenue (+10% YoY). The company acquired Astria Therapeutics and its navenibart subcutaneous HAE treatment to build a comprehensive franchise. In June 2026, BioCryst closed its Birmingham R&amp;D facility and ended internal drug discovery, appointing its first CSO (David Jenkins) to lead external innovation and partnerships. CEO Charlie Gayer succeeded founding CEO Jon Stonehouse in January 2026. 2026 total revenue guidance raised to $690-715M.</w:t>
      </w:r>
    </w:p>
    <w:p>
      <w:r>
        <w:rPr>
          <w:rFonts w:ascii="Calibri" w:hAnsi="Calibri"/>
          <w:b/>
          <w:color w:val="6E8450"/>
          <w:sz w:val="18"/>
        </w:rPr>
        <w:t>435 Employees · https://www.biocryst.com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BioCryst successfully launched ORLADEYO as the first oral once-daily HAE prophylactic and completed the transformative Astria Therapeutics acquisition to add navenibart (subcutaneous HAE treatment), creating a comprehensive HAE franchise with ORLADEYO generating $158.2M in Q2 2026 revenue [1]. The company has transitioned from pre-revenue biotech to sustained non-GAAP profitability ($113.2M non-GAAP operating profit in Q2 2026) [1]. AI Deployment (0/2): No evidence of AI-powered products or specific AI-driven cost savings. BioCryst is a traditional rare disease pharma company. Market Share (2/2): ORLADEYO is the dominant oral prophylactic treatment for HAE globally, with 2026 guidance of $625-645M in ORLADEYO revenue alone [1]. Management noted that new injectable competitors are primarily impacting existing injectables like TAKHZYRO while ORLADEYO patient retention remains stable, confirming its category-leading position in oral HAE prophylaxis [1]. Product Pipeline (1/2): FDA approval of ORLADEYO oral pellets for pediatric HAE (ages 2-12) expands the addressable market. Navenibart (from Astria acquisition) provides a next-gen subcutaneous option with European licensing to Sobi for $70M upfront + $275M milestones. New CSO David Jenkins hired to lead external innovation partnerships in rare disease [3]. R&amp;D Intensity (0/1): BioCryst closed its Birmingham R&amp;D facility in June 2026 and ended internal drug discovery, shifting to an asset-light external innovation model — R&amp;D intensity is declining as the company pivots to licensing and partnerships rather than proprietary research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BioCryst's purpose is to develop medicines for rare diseases where patients have limited treatment options — clear, specific, and meaningful, connecting to improving patients' lives with conditions like HAE. CEO Gayer stated the company's goal is 'to bring more drugs to rare disease patients,' a genuine but industry-standard biotech mission [3]. Community Impact (1/2): BioCryst operates patient assistance programs for ORLADEYO and engages with the HAE patient community through advocacy and disease awareness, representing meaningful but standard pharmaceutical community engagement [3]. Employee Retention (1/2): CEO Charlie Gayer was promoted internally after 10 years at BioCryst, and founding CEO Jon Stonehouse praised the company's 'special culture that has a direct impact on company performance' during the succession announcement [3]. The orderly 18-month CEO transition signals organizational stability. However, the R&amp;D facility closure means job losses. Insider Buying (0/2): No evidence of meaningful net insider buying with dollar amounts in the last 12 months. Gayer holds equity compensation from his decade-long tenure but no open-market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D/E and ROE excluded (negative shareholder equity of -$554M from accumulated historical losses makes both metrics not calculable) [4]. Revenue growth is exceptional — approximately 20% YoY on a comparable basis with raised total guidance to $690-715M, and 5-year CAGR of approximately 30% as ORLADEYO scaled from launch ($175M FY2021) to $700M+ (FY2026) [1][2]. Both revenue growth metrics score at maximum with 2x weight on 5yr CAGR. Forward P/E of approximately 25.8 ($10.05 / $0.39 consensus EPS) is elevated but reasonable for a rare disease growth franchise, scoring 0.86 [4]. Profit margin remains negative on a GAAP basis (~-35% TTM) due to Astria acquisition costs and stock compensation, though non-GAAP operating profit of $113.2M in Q2 2026 demonstrates underlying profitability [1]. Stock easily clears the liquidity floor at $10.05 x 6.54M shares = $65.7M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BioCryst demonstrates mixed infinite-game signals under CEO Charlie Gayer. The company's 40-year history and focus on serving rare disease patients with limited treatment options reflects genuine long-term vision, and the orderly CEO succession after Gayer's decade-long tenure signals organizational stability. The decision to close internal R&amp;D and pivot to external innovation shows strategic conviction but also raises questions about whether the company is building to endure or optimizing for near-term profitability. Heavy single-franchise dependence on ORLADEYO creates finite-game vulnerability.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BioCryst's purpose of developing treatments for rare disease patients with limited options is genuine, has shaped 40 years of organizational decisions, and connects to meaningful human health improvement [3]. ORLADEYO as the first oral daily HAE prophylactic validated a real medical need for an underserved patient population. CEO Gayer explicitly frames decisions through the lens of 'bringing more drugs to rare disease patients.' However, the cause is narrowly defined around HAE and has not been tested through the kind of existential crisis that validates a Just Cause at the highest level.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internal promotion of Charlie Gayer to CEO after 10 years, with founding CEO Stonehouse praising the company's 'special culture,' suggests a trusting organizational environment [3]. The appointment of experienced executives from Alnylam and Pfizer (CRDO Sandeep Menon, CSO David Jenkins) shows ability to attract senior talent. However, the R&amp;D facility closure in Birmingham means significant job losses, which undermines trust for affected employees, and management team tenure data is limited.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CEO Gayer stated 'we're not afraid of competition,' noting that new injectable HAE competitors primarily impact existing injectables like TAKHZYRO rather than ORLADEYO [1]. This competitive framing focuses on defending market position and is more about differentiation than learning from rivals. The Astria acquisition was partly defensive — acquiring a potential competitive threat. No evidence of management referencing competitors' strengths as self-improvement motivation.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BioCryst has meaningfully evolved from an early-stage drug discovery platform (anti-infectives, enzyme inhibitors) into a focused commercial rare disease company, demonstrating strategic adaptation over decades [3]. The June 2026 decision to close the Birmingham R&amp;D facility and shift entirely to external innovation represents another significant strategic evolution — abandoning internal discovery capability in favor of an asset-light model. The Astria acquisition and European business divestiture further demonstrate willingness to reshape the portfolio. However, the core business (HAE therapeutics)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Gayer's decision to close BioCryst's Birmingham R&amp;D facility and end internal drug discovery — a capability the company invested in for decades — required strategic conviction, even though it serves near-term profitability [3]. The move acknowledges 'the industry is moving a lot faster right now' and redirects resources to external innovation where the company believes it can move more efficiently. This demonstrates willingness to abandon a long-standing capability in service of a more effective model. However, the decision also conveniently reduces costs and improves margins, making it difficult to distinguish courage from financial pragmatism.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BioCryst has transformed from a pre-revenue biotech into a rare disease franchise generating $690-715M in raised 2026 total revenue guidance, with ORLADEYO's Q2 2026 revenue of $158.2M (+10% YoY) and total revenue up 45% YoY excluding the European divestiture [1]. Non-GAAP operating profit of $113.2M in Q2 2026 (up from $60.9M prior year) demonstrates accelerating profitability and operating leverage as the company scales [1]. Forward P/E of ~25.8x on $0.39 consensus EPS provides reasonable valuation for a rare disease franchise with 20%+ comparable revenue growth, 30% 5-year CAGR, and 98% gross margins. The analyst consensus of $21.86 target price implies ~117% upside. ORLADEYO's oral convenience moat, pediatric approval expanding the addressable market, and navenibart adding a second HAE franchise product create durable growth visibility [2].</w:t>
      </w:r>
    </w:p>
    <w:p>
      <w:pPr>
        <w:spacing w:after="120"/>
      </w:pPr>
      <w:r>
        <w:rPr>
          <w:rFonts w:ascii="Calibri" w:hAnsi="Calibri"/>
          <w:b w:val="0"/>
          <w:color w:val="3A4A28"/>
          <w:sz w:val="20"/>
        </w:rPr>
        <w:t>The primary risk is single-franchise concentration — ORLADEYO represents essentially all commercial revenue, creating vulnerability to competitive entry, patent challenges, or safety events [1]. The closure of internal R&amp;D and shift to external innovation reduces pipeline visibility and makes BioCryst dependent on licensing and M&amp;A for future growth beyond HAE. GAAP profitability remains elusive with approximately -35% TTM net margin due to Astria acquisition costs and stock compensation, and $858M in total debt against -$554M equity represents significant leverage [4]. The CEO transition from founding CEO Stonehouse to Gayer, while orderly, introduces execution risk during the external innovation pivot. If ORLADEYO growth decelerates from the current ~10-20% comparable trajectory, the 25.8x forward multiple could compress significantly. The company's $261M cash position may be insufficient to fund both pipeline expansion and debt service if operating cash flows disappoint.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2026 total revenue guidance to $690-715M with non-GAAP operating profit accelerating to $113.2M in Q2 2026, demonstrating expanding profitability and operating leverage as the HAE franchise scales [1]</w:t>
      </w:r>
    </w:p>
    <w:p>
      <w:pPr>
        <w:spacing w:before="40" w:after="40"/>
        <w:ind w:left="283"/>
      </w:pPr>
      <w:r>
        <w:rPr>
          <w:rFonts w:ascii="Calibri" w:hAnsi="Calibri"/>
          <w:b/>
          <w:color w:val="4A6B25"/>
          <w:sz w:val="20"/>
        </w:rPr>
        <w:t xml:space="preserve">2. </w:t>
      </w:r>
      <w:r>
        <w:rPr>
          <w:rFonts w:ascii="Calibri" w:hAnsi="Calibri"/>
          <w:b w:val="0"/>
          <w:color w:val="3A4A28"/>
          <w:sz w:val="20"/>
        </w:rPr>
        <w:t>ORLADEYO pediatric oral pellets (ages 2-12) FDA approval expanding the addressable HAE population, plus navenibart advancing as a second commercial HAE product through European licensing with Sobi ($70M upfront + $275M milestones) [2]</w:t>
      </w:r>
    </w:p>
    <w:p>
      <w:pPr>
        <w:spacing w:before="40" w:after="40"/>
        <w:ind w:left="283"/>
      </w:pPr>
      <w:r>
        <w:rPr>
          <w:rFonts w:ascii="Calibri" w:hAnsi="Calibri"/>
          <w:b/>
          <w:color w:val="4A6B25"/>
          <w:sz w:val="20"/>
        </w:rPr>
        <w:t xml:space="preserve">3. </w:t>
      </w:r>
      <w:r>
        <w:rPr>
          <w:rFonts w:ascii="Calibri" w:hAnsi="Calibri"/>
          <w:b w:val="0"/>
          <w:color w:val="3A4A28"/>
          <w:sz w:val="20"/>
        </w:rPr>
        <w:t>New CSO David Jenkins (first-ever) building external innovation pipeline in rare disease through licensing and partnerships, with potential to diversify beyond HAE and reduce single-franchise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concentration with ORLADEYO representing ~100% of commercial revenue, creating binary risk from competitive entry (new injectable HAE therapies), patent challenges, or safety signal [1]</w:t>
      </w:r>
    </w:p>
    <w:p>
      <w:pPr>
        <w:spacing w:before="40" w:after="40"/>
        <w:ind w:left="283"/>
      </w:pPr>
      <w:r>
        <w:rPr>
          <w:rFonts w:ascii="Calibri" w:hAnsi="Calibri"/>
          <w:b/>
          <w:color w:val="4A6B25"/>
          <w:sz w:val="20"/>
        </w:rPr>
        <w:t xml:space="preserve">2. </w:t>
      </w:r>
      <w:r>
        <w:rPr>
          <w:rFonts w:ascii="Calibri" w:hAnsi="Calibri"/>
          <w:b w:val="0"/>
          <w:color w:val="3A4A28"/>
          <w:sz w:val="20"/>
        </w:rPr>
        <w:t>Closure of internal R&amp;D facility and shift to external innovation eliminates proprietary drug discovery capability, making pipeline expansion dependent on licensing and M&amp;A in a competitive rare disease deal market [3]</w:t>
      </w:r>
    </w:p>
    <w:p>
      <w:pPr>
        <w:spacing w:before="40" w:after="40"/>
        <w:ind w:left="283"/>
      </w:pPr>
      <w:r>
        <w:rPr>
          <w:rFonts w:ascii="Calibri" w:hAnsi="Calibri"/>
          <w:b/>
          <w:color w:val="4A6B25"/>
          <w:sz w:val="20"/>
        </w:rPr>
        <w:t xml:space="preserve">3. </w:t>
      </w:r>
      <w:r>
        <w:rPr>
          <w:rFonts w:ascii="Calibri" w:hAnsi="Calibri"/>
          <w:b w:val="0"/>
          <w:color w:val="3A4A28"/>
          <w:sz w:val="20"/>
        </w:rPr>
        <w:t>Significant leverage with $858M total debt against -$554M equity and ~$261M cash — if operating cash flows disappoint, debt service and pipeline investment could require dilutive financing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BioCryst's core business — manufacturing and commercializing oral and biologic drugs for a rare genetic disease (HAE) — is structurally immune to AI disruption [3]. Drug manufacturing is a physical/chemical process requiring FDA-regulated facilities. Clinical development and regulatory approval involve human subjects, institutional review, and regulatory oversight that AI cannot substitute. The HAE patient population has a genetic condition requiring ongoing medical management and therapeutic relationships that are irreplaceable. AI may enhance drug discovery efficiency for competitors, but BioCryst's commercial franchise and patent portfolio provide durable protection. Analysts have not flagged AI as a risk to the rare disease pharma model. AI Opportunity (0/1): No evidence of quantifiable AI-derived revenue. BioCryst's shift to external innovation relies on traditional licensing and partnership models rather than AI-driven drug discovery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BioCryst Q2 2026 Earnings — ORLADEYO revenue $158.2M (+10% YoY), total revenue up 45% ex-EU divestiture, non-GAAP OP $113.2M, raised total revenue guidance to $690-715M, August 2026</w:t>
      </w:r>
    </w:p>
    <w:p>
      <w:pPr>
        <w:spacing w:before="20" w:after="20"/>
        <w:ind w:left="170"/>
      </w:pPr>
      <w:r>
        <w:rPr>
          <w:rFonts w:ascii="Calibri" w:hAnsi="Calibri"/>
          <w:b/>
          <w:color w:val="4A6B25"/>
          <w:sz w:val="15"/>
        </w:rPr>
        <w:t xml:space="preserve">2. </w:t>
      </w:r>
      <w:r>
        <w:rPr>
          <w:rFonts w:ascii="Calibri" w:hAnsi="Calibri"/>
          <w:b w:val="0"/>
          <w:color w:val="3A4A28"/>
          <w:sz w:val="17"/>
        </w:rPr>
        <w:t>BioCryst Q1 2026 Earnings — ORLADEYO $148.3M (+21% ex-EU), non-GAAP OP $54M (+25% YoY), pediatric oral pellets FDA approval, May 2026</w:t>
      </w:r>
    </w:p>
    <w:p>
      <w:pPr>
        <w:spacing w:before="20" w:after="20"/>
        <w:ind w:left="170"/>
      </w:pPr>
      <w:r>
        <w:rPr>
          <w:rFonts w:ascii="Calibri" w:hAnsi="Calibri"/>
          <w:b/>
          <w:color w:val="4A6B25"/>
          <w:sz w:val="15"/>
        </w:rPr>
        <w:t xml:space="preserve">3. </w:t>
      </w:r>
      <w:r>
        <w:rPr>
          <w:rFonts w:ascii="Calibri" w:hAnsi="Calibri"/>
          <w:b w:val="0"/>
          <w:color w:val="3A4A28"/>
          <w:sz w:val="17"/>
        </w:rPr>
        <w:t>BioCryst Leadership and Strategy — CEO Charlie Gayer (Jan 2026), CSO David Jenkins (July 2026), Birmingham R&amp;D facility closure (June 2026), external innovation pivot — FierceBiotech, Simply Wall 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BCRX Key Statistics: Stock Price $10.05, Forward P/E ~25.8, Total Debt $858M, Total Equity -$554M, Avg Volume 6.54M shares,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