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BEN</w:t>
      </w:r>
      <w:r>
        <w:rPr>
          <w:rFonts w:ascii="Calibri" w:hAnsi="Calibri"/>
          <w:b/>
          <w:color w:val="1A2010"/>
          <w:sz w:val="40"/>
        </w:rPr>
        <w:t xml:space="preserve">  Franklin Resources, Inc.</w:t>
      </w:r>
    </w:p>
    <w:p>
      <w:pPr>
        <w:spacing w:after="120"/>
      </w:pPr>
      <w:r>
        <w:rPr>
          <w:rFonts w:ascii="Calibri" w:hAnsi="Calibri"/>
          <w:b/>
          <w:color w:val="6E8450"/>
          <w:sz w:val="18"/>
        </w:rPr>
        <w:t>DIVIDEND SLEEVE · 2026-08-25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Asset Management · NYSE · United States</w:t>
      </w:r>
    </w:p>
    <w:p>
      <w:pPr>
        <w:spacing w:after="80"/>
      </w:pPr>
      <w:r>
        <w:rPr>
          <w:rFonts w:ascii="Calibri" w:hAnsi="Calibri"/>
          <w:b w:val="0"/>
          <w:color w:val="3A4A28"/>
          <w:sz w:val="20"/>
        </w:rPr>
        <w:t>Franklin Resources, Inc., operating as Franklin Templeton, is a global investment management firm with record $1.8 trillion in assets under management. The company offers mutual funds, ETFs, separately managed accounts, and alternative investments across public and private markets. Founded in 1947 by Rupert Johnson Sr. (named after Benjamin Franklin), headquartered in San Mateo, California. CEO Jenny Johnson represents fourth-generation family leadership. Q3 FY2026 revenue of $2.36B (+14% YoY) with adjusted operating income up 35% YoY and margins guided to approach 30% by Q4.</w:t>
      </w:r>
    </w:p>
    <w:p>
      <w:r>
        <w:rPr>
          <w:rFonts w:ascii="Calibri" w:hAnsi="Calibri"/>
          <w:b/>
          <w:color w:val="6E8450"/>
          <w:sz w:val="18"/>
        </w:rPr>
        <w:t>9,800 Employees · https://www.franklintempleton.com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Franklin Templeton has executed two significant acquisitions that reshaped the firm — Legg Mason ($4.5B, 2020) and Putnam Investments (2024) — combined with successful expansion into private markets, where FY2026 fundraising reached ~$40B, exceeding the original $25-30B target [1][2]. The move into digital assets and crypto products represents a meaningful adjacent market entry. These are significant but primarily acquisitive rather than organically transformative. AI Deployment (1/2): CEO Jenny Johnson has deployed AI internally to streamline investment commentary, enforce style guides, and improve content quality across the firm, and the company invested in Transparently.AI through its FinTech Incubator for AI-powered accounting fraud detection [2]. However, no AI-powered investment products generating quantified revenue have been identified. Market Share (1/2): With record $1.8T AUM, Franklin Templeton is a top-10 global asset manager but ranks behind BlackRock ($11.5T+), Vanguard, Fidelity, and State Street — a large, meaningful player but not the category leader [1]. Product Pipeline (1/2): Record $28.6B institutional pipeline won but unfunded and record $122B in quarterly long-term inflows demonstrate strong product demand, with Q3 2026 seeing $18.4B in long-term net inflows [1]. R&amp;D Intensity (0/1): As an asset management firm, technology spending is not comparable to tech peers, and Franklin Templeton does not disclose R&amp;D intensity metrics.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Franklin Templeton's purpose reflects genuine intentionality as a firm explicitly named after Benjamin Franklin's principles of prudence, industry, and stewardship — differentiating it from peers through a founding philosophy rather than a corporate platitude [2]. The Johnson family's four-generation, 79-year stewardship validates the cause's durability, with CEO Jenny Johnson representing a multi-decade commitment to the founding values that is uncommon among public companies. The mission connects investment management to broader principles of financial discipline and long-term stewardship. Community Impact (1/2): Franklin Templeton appointed Anne Simpson as Global Head of Sustainability, committed to TCFD and NZAMI, and publishes annual CSR reports covering community engagement and environmental stewardship [3]. However, no specific charitable programs or community investment dollar amounts were identified. Employee Retention (0/2): With 9,800 employees and Glassdoor reviews citing both positive culture and concerns about layoffs following acquisitions and cultural clashes from integration, no specific retention or tenure data demonstrating above-average employee loyalty was available [2]. Insider Buying (0/2): The Johnson family controls approximately 42% of Franklin Resources' voting power, representing substantial insider alignment, but this reflects inherited position rather than recent net insider buying with specific dollar amounts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of 25% scores 1.0 (well below the 70% target), and Forward P/E of 11.21 also scores 1.0 (well below the 20 target), providing strong valuation support [4]. ROE of 7.89% is below the 15% target (scoring 0.53), reflecting ongoing margin challenges in asset management despite improvement from 4.46% in the prior quarter. Revenue growth YoY of 8% approaches the 10% target (scoring 0.93), accelerated by record AUM and net inflows [1]. Profit margin of 8.72% remains well below the 20% target (scoring 0.44), though margins are expanding toward 30% by Q4 guidance. The payout ratio of 89.76% is the primary drag (scoring 0.17), with nearly all earnings consumed by the dividend. The 46 consecutive years of dividend payments (2x weight) and 45 consecutive years of dividend growth anchor the score, while the modest 5-year dividend growth CAGR of ~2% provides partial credit. Liquidity is ample at $140M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Franklin Templeton under fourth-generation CEO Jenny Johnson embodies genuine long-term orientation — 79 years of family control, 46 consecutive years of dividend payments, and a founding identity rooted in Benjamin Franklin's principles of prudent stewardship. The company has demonstrated courage through bold acquisitions (Legg Mason during COVID) and flexibility through strategic evolution into private markets and digital assets. However, the response to secular industry disruption (passive investing, fee compression, AI) has been primarily acquisitive rather than organically innovative, and the payout ratio near 90% constrains investment in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Franklin Templeton's purpose of helping clients achieve better financial outcomes is distinctive when viewed through its 79-year family-controlled history — the firm was explicitly named after Benjamin Franklin's principles of prudence, industry, and stewardship, and the Johnson family's four-generation commitment validates the cause's durability [2]. The founding values have survived leadership transitions, market crises, and industry disruption. However, the purpose has not been transformatively tested in the Sinek sense — the firm has adapted through acquisition rather than revolutionary reinvention in service of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Family-controlled governance with Jenny Johnson as fourth-generation CEO provides leadership stability uncommon in public companies [2]. The 9,800-employee firm has maintained organizational coherence through major integrations (Legg Mason, Putnam). However, employee reviews cite concerns about layoffs following acquisitions and cultural clashes during integration, suggesting the Circle of Safety has been disrupted by the acquisitive growth strategy. No specific employee satisfaction or turnover data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Johnson's public commentary on AI disruption — specifically warning that AI coding capabilities (citing Anthropic's Claude) could disrupt software and service economics — demonstrates a mindset of learning from competitive threats rather than dismissing them [2]. The firm's active engagement with industry-reshaping trends (passive investing, AI, tokenization, digital assets) and willingness to publicly discuss competitors' advantages reflects an infinite-game competitive orientation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Franklin Templeton has strategically evolved from a domestic equity mutual fund firm into a $1.8T global multi-asset platform through major acquisitions (Legg Mason, Putnam) and organic expansion into private markets (~$40B FY2026 fundraising, exceeding the $25-30B target), digital assets, and crypto ETFs [1]. This represents meaningful adaptation to industry consolidation and secular shifts. However, the evolution has been incremental and acquisitive rather than transformative — the firm has bought its way into new categories rather than organically abandoning a core business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$4.5B Legg Mason acquisition in 2020 during COVID-19 uncertainty demonstrated willingness to make a significant long-term bet when others were retreating [1]. Maintaining 46 consecutive years of dividend payments and 45 years of increases through multiple market crises required discipline. The expansion into digital assets and crypto ETFs shows willingness to enter controversial asset classes. However, the payout ratio near 90% constrains reinvestment capacity, and total shareholder returns of $521.5M in Q3 2026 alone suggest prioritizing current distributions over transformative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Franklin Templeton at 11.21x forward earnings with a 3.81% dividend yield offers value and income backed by record momentum — Q3 FY2026 delivered $2.36B revenue (+14% YoY), adjusted operating income up 35% YoY to $508.9M, and record $1.8T AUM with $18.4B in quarterly long-term net inflows and record $122B in gross long-term inflows [1]. The margin expansion trajectory (approaching 30% by Q4 2026, guided to 29-30% in FY2027) validates the Legg Mason and Putnam integration thesis after years of post-acquisition margin compression. Private markets fundraising of ~$40B (exceeding the $25-30B target) and a record $28.6B institutional pipeline provide higher-fee revenue diversification away from fee-compressed traditional active management. The Johnson family's 42% voting control ensures long-term alignment and protection against activist disruption.</w:t>
      </w:r>
    </w:p>
    <w:p>
      <w:pPr>
        <w:spacing w:after="120"/>
      </w:pPr>
      <w:r>
        <w:rPr>
          <w:rFonts w:ascii="Calibri" w:hAnsi="Calibri"/>
          <w:b w:val="0"/>
          <w:color w:val="3A4A28"/>
          <w:sz w:val="20"/>
        </w:rPr>
        <w:t>The structural bear case centers on the secular decline of traditional active management — passive funds and ETFs continue capturing market share from active managers, compressing fees industry-wide and threatening Franklin Templeton's core revenue model. ROE of 7.89% remains well below financial services peers, suggesting the business is not generating adequate returns on its equity base despite $1.8T in AUM. The payout ratio of 89.76% consumes nearly all earnings, leaving minimal reinvestment capacity for organic growth — the 5-year revenue CAGR of just 3% reflects a business that has barely grown organically despite massive acquisitions. CEO Johnson's own warning that AI could disrupt investment management acknowledges a risk the firm has not yet structurally addressed [2]. The removal of weapons exclusions from ESG funds and shifting sustainability priorities could create reputational risks for ESG-sensitive allocators [3].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expansion approaching 30% by Q4 FY2026 and guided to 29-30% in FY2027 (assuming flat markets), validating the Legg Mason/Putnam integration thesis and potentially re-rating the stock toward higher-margin asset management peers [1]</w:t>
      </w:r>
    </w:p>
    <w:p>
      <w:pPr>
        <w:spacing w:before="40" w:after="40"/>
        <w:ind w:left="283"/>
      </w:pPr>
      <w:r>
        <w:rPr>
          <w:rFonts w:ascii="Calibri" w:hAnsi="Calibri"/>
          <w:b/>
          <w:color w:val="4A6B25"/>
          <w:sz w:val="20"/>
        </w:rPr>
        <w:t xml:space="preserve">2. </w:t>
      </w:r>
      <w:r>
        <w:rPr>
          <w:rFonts w:ascii="Calibri" w:hAnsi="Calibri"/>
          <w:b w:val="0"/>
          <w:color w:val="3A4A28"/>
          <w:sz w:val="20"/>
        </w:rPr>
        <w:t>Private markets and alternatives AUM growth with ~$40B FY2026 fundraising (exceeding $25-30B target) and record $28.6B institutional pipeline providing higher-fee revenue diversification against active equity fee compression [1]</w:t>
      </w:r>
    </w:p>
    <w:p>
      <w:pPr>
        <w:spacing w:before="40" w:after="40"/>
        <w:ind w:left="283"/>
      </w:pPr>
      <w:r>
        <w:rPr>
          <w:rFonts w:ascii="Calibri" w:hAnsi="Calibri"/>
          <w:b/>
          <w:color w:val="4A6B25"/>
          <w:sz w:val="20"/>
        </w:rPr>
        <w:t xml:space="preserve">3. </w:t>
      </w:r>
      <w:r>
        <w:rPr>
          <w:rFonts w:ascii="Calibri" w:hAnsi="Calibri"/>
          <w:b w:val="0"/>
          <w:color w:val="3A4A28"/>
          <w:sz w:val="20"/>
        </w:rPr>
        <w:t>Record AUM of $1.8T and $63.3B in YTD long-term net inflows demonstrating broad client demand across asset classes, with potential for further inflows if market conditions remain favorable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shift from active to passive investing continuing to compress fees and drive outflows from traditional mutual fund products, with AI-powered investment tools accelerating the displacement of human active management [2]</w:t>
      </w:r>
    </w:p>
    <w:p>
      <w:pPr>
        <w:spacing w:before="40" w:after="40"/>
        <w:ind w:left="283"/>
      </w:pPr>
      <w:r>
        <w:rPr>
          <w:rFonts w:ascii="Calibri" w:hAnsi="Calibri"/>
          <w:b/>
          <w:color w:val="4A6B25"/>
          <w:sz w:val="20"/>
        </w:rPr>
        <w:t xml:space="preserve">2. </w:t>
      </w:r>
      <w:r>
        <w:rPr>
          <w:rFonts w:ascii="Calibri" w:hAnsi="Calibri"/>
          <w:b w:val="0"/>
          <w:color w:val="3A4A28"/>
          <w:sz w:val="20"/>
        </w:rPr>
        <w:t>Payout ratio of 89.76% constraining reinvestment capacity — the dividend consumes nearly all earnings, and any earnings contraction in a market downturn could force a dividend freeze or cut, ending the 45-year growth streak</w:t>
      </w:r>
    </w:p>
    <w:p>
      <w:pPr>
        <w:spacing w:before="40" w:after="40"/>
        <w:ind w:left="283"/>
      </w:pPr>
      <w:r>
        <w:rPr>
          <w:rFonts w:ascii="Calibri" w:hAnsi="Calibri"/>
          <w:b/>
          <w:color w:val="4A6B25"/>
          <w:sz w:val="20"/>
        </w:rPr>
        <w:t xml:space="preserve">3. </w:t>
      </w:r>
      <w:r>
        <w:rPr>
          <w:rFonts w:ascii="Calibri" w:hAnsi="Calibri"/>
          <w:b w:val="0"/>
          <w:color w:val="3A4A28"/>
          <w:sz w:val="20"/>
        </w:rPr>
        <w:t>5-year revenue CAGR of just 3% and ROE of 7.89% reflect a mature business generating inadequate organic growth and returns despite $1.8T AUM, with growth dependent on market appreciation and acquisitions rather than organic inflow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Franklin Templeton's traditional active management business faces meaningful AI disruption risk as algorithmic investing, robo-advisors, and AI-powered portfolio construction tools compress fees and reduce demand for human-managed funds [2]. CEO Jenny Johnson herself has publicly warned that AI's accelerating capabilities — specifically citing Anthropic's Claude — raise fundamental questions about whether traditional enterprise software vendors and service providers can continue to thrive, demonstrating acute awareness of AI disruption dynamics. However, the firm's growing diversification into alternative investments and private markets (~$40B FY2026 fundraising) provides defensive moats — private market due diligence, relationship-based institutional sales, and regulatory complexity cannot be easily AI-automated [1]. The record $28.6B institutional pipeline reflects sticky, relationship-driven revenue that AI cannot readily displace. AI Opportunity (0/1): While Franklin Templeton uses AI internally for productivity improvements and has invested in Transparently.AI through its FinTech Incubator, no quantifiable revenue from AI-related products or services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Franklin Templeton Q3 FY2026 Earnings — Revenue $2.36B (+14% YoY), Adjusted Operating Income $508.9M (+35% YoY), Record AUM $1.8T, Long-Term Net Inflows $18.4B, Record Institutional Pipeline $28.6B, August 2026</w:t>
      </w:r>
    </w:p>
    <w:p>
      <w:pPr>
        <w:spacing w:before="20" w:after="20"/>
        <w:ind w:left="170"/>
      </w:pPr>
      <w:r>
        <w:rPr>
          <w:rFonts w:ascii="Calibri" w:hAnsi="Calibri"/>
          <w:b/>
          <w:color w:val="4A6B25"/>
          <w:sz w:val="15"/>
        </w:rPr>
        <w:t xml:space="preserve">2. </w:t>
      </w:r>
      <w:r>
        <w:rPr>
          <w:rFonts w:ascii="Calibri" w:hAnsi="Calibri"/>
          <w:b w:val="0"/>
          <w:color w:val="3A4A28"/>
          <w:sz w:val="17"/>
        </w:rPr>
        <w:t>Franklin Templeton CEO Jenny Johnson on AI Disruption, Leadership, and Innovation — Investing.com, Hiverlab, AdvisorPerspectives, 2025-2026</w:t>
      </w:r>
    </w:p>
    <w:p>
      <w:pPr>
        <w:spacing w:before="20" w:after="20"/>
        <w:ind w:left="170"/>
      </w:pPr>
      <w:r>
        <w:rPr>
          <w:rFonts w:ascii="Calibri" w:hAnsi="Calibri"/>
          <w:b/>
          <w:color w:val="4A6B25"/>
          <w:sz w:val="15"/>
        </w:rPr>
        <w:t xml:space="preserve">3. </w:t>
      </w:r>
      <w:r>
        <w:rPr>
          <w:rFonts w:ascii="Calibri" w:hAnsi="Calibri"/>
          <w:b w:val="0"/>
          <w:color w:val="3A4A28"/>
          <w:sz w:val="17"/>
        </w:rPr>
        <w:t>Franklin Templeton ESG Strategy — Anne Simpson as Global Head of Sustainability, TCFD/NZAMI Commitments, Weapons Exclusion Changes, ESG Guide, Sustainability Directory,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BEN Key Statistics: Forward P/E 11.21x, PEG 0.64, ROE 7.89%, D/E 25%, Profit Margin 8.72%, Dividend Yield 3.81%, Stock Price $34.62,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