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BEPC</w:t>
      </w:r>
      <w:r>
        <w:rPr>
          <w:rFonts w:ascii="Calibri" w:hAnsi="Calibri"/>
          <w:b/>
          <w:color w:val="1A2010"/>
          <w:sz w:val="40"/>
        </w:rPr>
        <w:t xml:space="preserve">  Brookfield Renewable Corporation</w:t>
      </w:r>
    </w:p>
    <w:p>
      <w:pPr>
        <w:spacing w:after="120"/>
      </w:pPr>
      <w:r>
        <w:rPr>
          <w:rFonts w:ascii="Calibri" w:hAnsi="Calibri"/>
          <w:b/>
          <w:color w:val="6E8450"/>
          <w:sz w:val="18"/>
        </w:rPr>
        <w:t>DIVIDEND SLEEVE · 2026-08-07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NYSE · Canada</w:t>
      </w:r>
    </w:p>
    <w:p>
      <w:pPr>
        <w:spacing w:after="80"/>
      </w:pPr>
      <w:r>
        <w:rPr>
          <w:rFonts w:ascii="Calibri" w:hAnsi="Calibri"/>
          <w:b w:val="0"/>
          <w:color w:val="3A4A28"/>
          <w:sz w:val="20"/>
        </w:rPr>
        <w:t>Brookfield Renewable Corporation owns and operates a globally diversified portfolio of renewable power and sustainable solutions assets, including hydroelectric, wind, solar, and energy storage facilities across North America, South America, Europe, and Asia. The Class A exchangeable shares are structured to be economically equivalent to units of Brookfield Renewable Partners L.P. The company operates approximately 13,396 megawatts of installed capacity and is expanding a development pipeline toward 200 gigawatts to meet accelerating electricity demand, including from AI data centers.</w:t>
      </w:r>
    </w:p>
    <w:p>
      <w:r>
        <w:rPr>
          <w:rFonts w:ascii="Calibri" w:hAnsi="Calibri"/>
          <w:b/>
          <w:color w:val="6E8450"/>
          <w:sz w:val="18"/>
        </w:rPr>
        <w:t>2,411 Employees · https://bep.brookfield.com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Brookfield launched a $100 billion global AI Infrastructure program in November 2025 with founding partners NVIDIA and the Kuwait Investment Authority, positioning the company at the center of AI-driven power demand rather than as a legacy utility [2]. Combined with the pending Boralex acquisition and expansion of the development pipeline to 200 GW, this represents a transformative repositioning of the business. AI Deployment (1/2): The AI Infrastructure program finances data center power buildout for others rather than deploying AI within Brookfield's own operations, so no internal AI cost savings are quantified [2]. Market Share (2/2): One of the world's largest renewable power platforms, targeting an annual commissioning run-rate of approximately 10 GW by 2027 and 10 GW of battery storage by 2027 [1][3]. Product Pipeline (2/2): Specific, dated targets include the Boralex acquisition closing later in 2026 and the 200 GW pipeline buildout under CEO Connor Teskey [1][3]. R&amp;D Intensity (0/1): As an asset-owning power generator, R&amp;D spend as a percentage of revenue is not a meaningful or disclosed metric for this business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Brookfield Renewable's stated purpose of being a leading global platform for renewable power and the energy transition is clear but largely interchangeable with peer utilities, and its credibility is undercut by environmental groups in Maine publicly denouncing the company's ESG claims as "greenwashing" [4]. Community Impact (0/2): No specific charitable programs, foundation activity, or dollar-quantified community investment was found in research. Employee Retention (0/2): No tenure, turnover, or retention data is publicly disclosed for the 2,411-person workforce. Insider Buying (0/2): No evidence of net insider buying by leadership was identified in the research window.</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dividend-classified stock. FY2025 revenue fell 9.99% YoY to CAD 3,728 million with a large net loss, producing a deeply negative profit margin and return on equity (-54.16% current) driven by non-cash fair-value and depreciation charges typical of asset-heavy power generators [5]. Debt/equity of approximately 215% sits well above the 70% target, reflecting the leveraged project-finance structure common to renewable asset owners. On the dividend side, the company has increased its distribution annually (most recently +5% to $1.468/unit) with roughly 6 years of payment history since the BEPC share class was created in 2020, supporting a partial score on consecutive-years and dividend-growth metrics; Forward P/E, 5-year revenue CAGR, and payout ratio were unavailable and excluded from the calculation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Brookfield Renewable is committing tens of billions of dollars to a multi-decade energy transition and AI power buildout, which reflects long-horizon thinking, but its relatively young corporate history as a standalone entity, greenwashing allegations from environmental groups, and lack of disclosed employee or community data prevent it from reaching the top tier of infinite-game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mission of decarbonizing global power generation is genuinely service-oriented and idealistic, and Brookfield has committed capital at scale toward it, but the greenwashing criticism from Maine environmental groups and the company's complex Brazilian land holdings suggest the cause is not yet fully and consistently lived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layoffs or leadership instability were identified, and the small 2,411-person team appears stable, but no specific tenure, turnover, or employee-sentiment data was found to support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commentary was found on how Brookfield frames its renewable power competitors, so no credit is given for an explicitly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Expanding from pure-play power generation into AI infrastructure financing and grid-scale battery storage is a meaningful evolution, but the core business model of owning and operating power assets remains fundamentally unchanged [2][3].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$100 billion to a new AI infrastructure vertical and pursuing the Boralex acquisition while distribution coverage is pressured by a large reported net loss shows a willingness to invest for the long term ahead of current profitability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Brookfield Renewable is repositioning from a traditional renewable power owner into a core financier of the AI-driven electricity buildout, anchored by a $100 billion AI Infrastructure program launched with NVIDIA and the Kuwait Investment Authority in November 2025 [2]. FFO grew 13-19% year-over-year across Q1 and Q2 2026, the distribution was raised 5% to $1.468 per unit, and the pending Boralex acquisition plus a 200 GW development pipeline targeting 10 GW of annual commissioning by 2027 give the company multi-year growth visibility that is structurally insulated from AI substitution risk — indeed, it is a direct beneficiary of surging AI power demand [1][3]. The stock's 4.70% yield and asset-backed cash flows make it a durable income vehicle for a decarbonizing, AI-hungry grid.</w:t>
      </w:r>
    </w:p>
    <w:p>
      <w:pPr>
        <w:spacing w:after="120"/>
      </w:pPr>
      <w:r>
        <w:rPr>
          <w:rFonts w:ascii="Calibri" w:hAnsi="Calibri"/>
          <w:b w:val="0"/>
          <w:color w:val="3A4A28"/>
          <w:sz w:val="20"/>
        </w:rPr>
        <w:t>The bear case centers on the balance sheet and reported profitability: FY2025 revenue fell nearly 10% and the company posted a large net loss with return on equity of -54% and debt/equity above 215%, reflecting heavy leverage typical of project-finance renewable structures but leaving little margin for error if power prices or financing costs move unfavorably [5]. Environmental groups have publicly labeled Brookfield's ESG positioning as "greenwashing," and the company's history of large-scale land holdings in Brazil has drawn separate governance scrutiny, both of which cut against the Inspiration and Just Cause narrative embedded in its marketing [4]. Execution risk on the newly announced $100 billion AI infrastructure commitment and integration risk from the Boralex acquisition add further near-term uncertainty on top of an already leveraged capital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Closing of the Boralex acquisition in 2026, adding scale and diversification to the renewable asset base</w:t>
      </w:r>
    </w:p>
    <w:p>
      <w:pPr>
        <w:spacing w:before="40" w:after="40"/>
        <w:ind w:left="283"/>
      </w:pPr>
      <w:r>
        <w:rPr>
          <w:rFonts w:ascii="Calibri" w:hAnsi="Calibri"/>
          <w:b/>
          <w:color w:val="4A6B25"/>
          <w:sz w:val="20"/>
        </w:rPr>
        <w:t xml:space="preserve">2. </w:t>
      </w:r>
      <w:r>
        <w:rPr>
          <w:rFonts w:ascii="Calibri" w:hAnsi="Calibri"/>
          <w:b w:val="0"/>
          <w:color w:val="3A4A28"/>
          <w:sz w:val="20"/>
        </w:rPr>
        <w:t>Continued build-out of the $100 billion AI Infrastructure program with NVIDIA and the Kuwait Investment Authority, converting data-center power demand into signed, long-term contracted cash flows</w:t>
      </w:r>
    </w:p>
    <w:p>
      <w:pPr>
        <w:spacing w:before="40" w:after="40"/>
        <w:ind w:left="283"/>
      </w:pPr>
      <w:r>
        <w:rPr>
          <w:rFonts w:ascii="Calibri" w:hAnsi="Calibri"/>
          <w:b/>
          <w:color w:val="4A6B25"/>
          <w:sz w:val="20"/>
        </w:rPr>
        <w:t xml:space="preserve">3. </w:t>
      </w:r>
      <w:r>
        <w:rPr>
          <w:rFonts w:ascii="Calibri" w:hAnsi="Calibri"/>
          <w:b w:val="0"/>
          <w:color w:val="3A4A28"/>
          <w:sz w:val="20"/>
        </w:rPr>
        <w:t>Progress toward the 10 GW annual commissioning run-rate and 10 GW battery storage targets by 2027, which would materially expand recurring FFO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(debt/equity above 215%) and negative reported net income leave limited cushion if interest rates or financing costs rise further</w:t>
      </w:r>
    </w:p>
    <w:p>
      <w:pPr>
        <w:spacing w:before="40" w:after="40"/>
        <w:ind w:left="283"/>
      </w:pPr>
      <w:r>
        <w:rPr>
          <w:rFonts w:ascii="Calibri" w:hAnsi="Calibri"/>
          <w:b/>
          <w:color w:val="4A6B25"/>
          <w:sz w:val="20"/>
        </w:rPr>
        <w:t xml:space="preserve">2. </w:t>
      </w:r>
      <w:r>
        <w:rPr>
          <w:rFonts w:ascii="Calibri" w:hAnsi="Calibri"/>
          <w:b w:val="0"/>
          <w:color w:val="3A4A28"/>
          <w:sz w:val="20"/>
        </w:rPr>
        <w:t>Greenwashing allegations from environmental organizations and unresolved land-use governance questions in Brazil create reputational and regulatory tail risk</w:t>
      </w:r>
    </w:p>
    <w:p>
      <w:pPr>
        <w:spacing w:before="40" w:after="40"/>
        <w:ind w:left="283"/>
      </w:pPr>
      <w:r>
        <w:rPr>
          <w:rFonts w:ascii="Calibri" w:hAnsi="Calibri"/>
          <w:b/>
          <w:color w:val="4A6B25"/>
          <w:sz w:val="20"/>
        </w:rPr>
        <w:t xml:space="preserve">3. </w:t>
      </w:r>
      <w:r>
        <w:rPr>
          <w:rFonts w:ascii="Calibri" w:hAnsi="Calibri"/>
          <w:b w:val="0"/>
          <w:color w:val="3A4A28"/>
          <w:sz w:val="20"/>
        </w:rPr>
        <w:t>The AI data-center power buildout thesis assumes sustained hyperscaler capex; any slowdown in AI infrastructure spending would directly reduce the incremental demand Brookfield is underwriting billions of dollars to capture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Physical power generation and grid delivery cannot be substituted by AI, and Brookfield sits on the beneficiary side of the AI buildout — industry forecasts point to AI-driven electricity demand growing roughly 70% annually through 2027, and the company's own $100 billion AI Infrastructure program with NVIDIA and the Kuwait Investment Authority makes it a direct financier and power supplier to AI data centers rather than a target of AI disruption [2][3]. AI Opportunity (1/1): The AI Infrastructure program and expanding data-center power agreements represent a quantifiable, named revenue opportunity tied directly to AI infrastructure buildout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Brookfield Renewable Q1 and Q2 2026 Earnings Call Transcripts and FFO Results — Investing.com, 2026</w:t>
      </w:r>
    </w:p>
    <w:p>
      <w:pPr>
        <w:spacing w:before="20" w:after="20"/>
        <w:ind w:left="170"/>
      </w:pPr>
      <w:r>
        <w:rPr>
          <w:rFonts w:ascii="Calibri" w:hAnsi="Calibri"/>
          <w:b/>
          <w:color w:val="4A6B25"/>
          <w:sz w:val="15"/>
        </w:rPr>
        <w:t xml:space="preserve">2. </w:t>
      </w:r>
      <w:r>
        <w:rPr>
          <w:rFonts w:ascii="Calibri" w:hAnsi="Calibri"/>
          <w:b w:val="0"/>
          <w:color w:val="3A4A28"/>
          <w:sz w:val="17"/>
        </w:rPr>
        <w:t>Brookfield Launches $100 Billion Global AI Infrastructure Program with NVIDIA and Kuwait Investment Authority — Brookfield.com, November 2025</w:t>
      </w:r>
    </w:p>
    <w:p>
      <w:pPr>
        <w:spacing w:before="20" w:after="20"/>
        <w:ind w:left="170"/>
      </w:pPr>
      <w:r>
        <w:rPr>
          <w:rFonts w:ascii="Calibri" w:hAnsi="Calibri"/>
          <w:b/>
          <w:color w:val="4A6B25"/>
          <w:sz w:val="15"/>
        </w:rPr>
        <w:t xml:space="preserve">3. </w:t>
      </w:r>
      <w:r>
        <w:rPr>
          <w:rFonts w:ascii="Calibri" w:hAnsi="Calibri"/>
          <w:b w:val="0"/>
          <w:color w:val="3A4A28"/>
          <w:sz w:val="17"/>
        </w:rPr>
        <w:t>Connor Teskey Leadership and 200 GW Renewables Pipeline — Institutional Investor, 2026</w:t>
      </w:r>
    </w:p>
    <w:p>
      <w:pPr>
        <w:spacing w:before="20" w:after="20"/>
        <w:ind w:left="170"/>
      </w:pPr>
      <w:r>
        <w:rPr>
          <w:rFonts w:ascii="Calibri" w:hAnsi="Calibri"/>
          <w:b/>
          <w:color w:val="4A6B25"/>
          <w:sz w:val="15"/>
        </w:rPr>
        <w:t xml:space="preserve">4. </w:t>
      </w:r>
      <w:r>
        <w:rPr>
          <w:rFonts w:ascii="Calibri" w:hAnsi="Calibri"/>
          <w:b w:val="0"/>
          <w:color w:val="3A4A28"/>
          <w:sz w:val="17"/>
        </w:rPr>
        <w:t>Environmental Groups Denounce Brookfield Renewable Partners for "Greenwashing" — Natural Resources Council of Maine</w:t>
      </w:r>
    </w:p>
    <w:p>
      <w:pPr>
        <w:spacing w:before="20" w:after="20"/>
        <w:ind w:left="170"/>
      </w:pPr>
      <w:r>
        <w:rPr>
          <w:rFonts w:ascii="Calibri" w:hAnsi="Calibri"/>
          <w:b/>
          <w:color w:val="4A6B25"/>
          <w:sz w:val="15"/>
        </w:rPr>
        <w:t xml:space="preserve">5. </w:t>
      </w:r>
      <w:r>
        <w:rPr>
          <w:rFonts w:ascii="Calibri" w:hAnsi="Calibri"/>
          <w:b w:val="0"/>
          <w:color w:val="3A4A28"/>
          <w:sz w:val="17"/>
        </w:rPr>
        <w:t>stockanalysis.com — BEPC Key Statistics, Financial Ratios and Revenue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